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footer+xml" PartName="/word/footer13.xml"/>
  <Override ContentType="application/vnd.openxmlformats-officedocument.wordprocessingml.footer+xml" PartName="/word/footer14.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4" w:hRule="atLeast"/>
        </w:trPr>
        <w:tc>
          <w:tcPr>
            <w:tcW w:w="10402" w:type="dxa"/>
            <w:tcBorders>
              <w:top w:val="nil"/>
              <w:left w:val="nil"/>
              <w:bottom w:val="nil"/>
              <w:right w:val="nil"/>
            </w:tcBorders>
          </w:tcPr>
          <w:p>
            <w:pPr>
              <w:pStyle w:val="8"/>
              <w:spacing w:line="550" w:lineRule="exact"/>
              <w:rPr>
                <w:rFonts w:hint="eastAsia" w:ascii="仿宋" w:hAnsi="仿宋" w:eastAsia="仿宋" w:cs="仿宋"/>
                <w:b/>
                <w:bCs/>
                <w:color w:val="FF0000"/>
                <w:sz w:val="22"/>
                <w:szCs w:val="22"/>
                <w:vertAlign w:val="baseline"/>
              </w:rPr>
            </w:pPr>
            <w:r>
              <w:rPr>
                <w:rFonts w:hint="eastAsia" w:ascii="仿宋" w:hAnsi="仿宋" w:eastAsia="仿宋" w:cs="仿宋"/>
                <w:b/>
                <w:bCs/>
                <w:color w:val="FF0000"/>
                <w:sz w:val="22"/>
                <w:szCs w:val="22"/>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5" w:hRule="atLeast"/>
        </w:trPr>
        <w:tc>
          <w:tcPr>
            <w:tcW w:w="10402" w:type="dxa"/>
            <w:tcBorders>
              <w:top w:val="nil"/>
              <w:left w:val="nil"/>
              <w:bottom w:val="nil"/>
              <w:right w:val="nil"/>
            </w:tcBorders>
            <w:vAlign w:val="center"/>
          </w:tcPr>
          <w:p>
            <w:pPr>
              <w:ind w:right="284" w:rightChars="129"/>
              <w:jc w:val="center"/>
              <w:rPr>
                <w:rFonts w:hint="eastAsia" w:ascii="仿宋" w:hAnsi="仿宋" w:eastAsia="仿宋" w:cs="仿宋"/>
                <w:b/>
                <w:bCs/>
                <w:color w:val="FF0000"/>
                <w:sz w:val="22"/>
                <w:szCs w:val="22"/>
                <w:vertAlign w:val="baseline"/>
              </w:rPr>
            </w:pPr>
            <w:r>
              <w:rPr>
                <w:rFonts w:hint="eastAsia" w:ascii="宋体" w:hAnsi="宋体" w:eastAsia="宋体" w:cs="宋体"/>
                <w:b/>
                <w:bCs/>
                <w:sz w:val="52"/>
                <w:szCs w:val="52"/>
                <w:lang w:val="en-US" w:eastAsia="zh-CN"/>
              </w:rPr>
              <w:t/>
            </w:r>
            <w:r>
              <w:rPr>
                <w:rFonts w:ascii="宋体" w:hAnsi="宋体" w:cs="宋体" w:eastAsia="宋体"/>
                <w:b w:val="true"/>
                <w:sz w:val="52"/>
              </w:rPr>
              <w:t xml:space="preserve">2020年度</w:t>
              <w:br w:type="textWrapping"/>
              <w:t/>
            </w:r>
            <w:r>
              <w:rPr>
                <w:rFonts w:ascii="宋体" w:hAnsi="宋体" w:cs="宋体" w:eastAsia="宋体"/>
                <w:b w:val="true"/>
                <w:sz w:val="52"/>
              </w:rPr>
              <w:t>江苏省无锡交通高等职业技术学校</w:t>
            </w:r>
            <w:r>
              <w:rPr>
                <w:rFonts w:ascii="宋体" w:hAnsi="宋体" w:cs="宋体" w:eastAsia="宋体"/>
                <w:b w:val="true"/>
                <w:sz w:val="52"/>
              </w:rPr>
              <w:t xml:space="preserve"></w:t>
              <w:br w:type="textWrapping"/>
              <w:t>单位决算公开</w:t>
            </w:r>
            <w:r>
              <w:rPr>
                <w:rFonts w:ascii="宋体" w:hAnsi="宋体" w:cs="宋体" w:eastAsia="宋体"/>
                <w:b w:val="true"/>
                <w:sz w:val="52"/>
              </w:rPr>
              <w:t/>
            </w:r>
          </w:p>
        </w:tc>
      </w:tr>
    </w:tbl>
    <w:p>
      <w:pPr>
        <w:ind w:right="284" w:rightChars="129"/>
        <w:jc w:val="both"/>
        <w:rPr>
          <w:rFonts w:hint="eastAsia" w:ascii="宋体" w:hAnsi="宋体" w:eastAsia="宋体" w:cs="宋体"/>
          <w:b/>
          <w:bCs/>
          <w:sz w:val="52"/>
          <w:szCs w:val="52"/>
        </w:rPr>
        <w:sectPr>
          <w:headerReference r:id="rId4" w:type="first"/>
          <w:headerReference r:id="rId3" w:type="default"/>
          <w:pgSz w:w="11906" w:h="16838"/>
          <w:pgMar w:top="1580" w:right="700" w:bottom="770" w:left="1020" w:header="170" w:footer="280" w:gutter="0"/>
          <w:pgBorders>
            <w:top w:val="none" w:sz="0" w:space="0"/>
            <w:left w:val="none" w:sz="0" w:space="0"/>
            <w:bottom w:val="none" w:sz="0" w:space="0"/>
            <w:right w:val="none" w:sz="0" w:space="0"/>
          </w:pgBorders>
          <w:pgNumType w:fmt="decimal"/>
          <w:cols w:space="720" w:num="1"/>
          <w:formProt w:val="0"/>
          <w:titlePg/>
          <w:docGrid w:linePitch="100" w:charSpace="0"/>
        </w:sectPr>
      </w:pPr>
    </w:p>
    <w:p>
      <w:pPr>
        <w:pStyle w:val="8"/>
        <w:spacing w:before="4" w:after="0"/>
        <w:rPr>
          <w:rFonts w:ascii="华文仿宋" w:hAnsi="华文仿宋" w:eastAsia="华文仿宋" w:cs="仿宋"/>
          <w:sz w:val="10"/>
        </w:rPr>
      </w:pPr>
    </w:p>
    <w:p>
      <w:pPr>
        <w:pStyle w:val="3"/>
        <w:tabs>
          <w:tab w:val="left" w:pos="880"/>
        </w:tabs>
        <w:spacing w:line="718" w:lineRule="exact"/>
        <w:ind w:right="313" w:firstLine="0"/>
        <w:rPr>
          <w:rFonts w:hint="eastAsia" w:ascii="仿宋" w:hAnsi="仿宋" w:eastAsia="仿宋" w:cs="仿宋"/>
        </w:rPr>
      </w:pPr>
      <w:r>
        <w:rPr>
          <w:rFonts w:hint="eastAsia" w:ascii="仿宋" w:hAnsi="仿宋" w:eastAsia="仿宋" w:cs="仿宋"/>
          <w:b/>
          <w:bCs/>
        </w:rPr>
        <w:t>目</w:t>
      </w:r>
      <w:r>
        <w:rPr>
          <w:rFonts w:hint="eastAsia" w:ascii="仿宋" w:hAnsi="仿宋" w:eastAsia="仿宋" w:cs="仿宋"/>
          <w:b/>
          <w:bCs/>
        </w:rPr>
        <w:tab/>
      </w:r>
      <w:r>
        <w:rPr>
          <w:rFonts w:hint="eastAsia" w:ascii="仿宋" w:hAnsi="仿宋" w:eastAsia="仿宋" w:cs="仿宋"/>
          <w:b/>
          <w:bCs/>
        </w:rPr>
        <w:t>录</w:t>
      </w:r>
    </w:p>
    <w:p>
      <w:pPr>
        <w:pStyle w:val="8"/>
        <w:spacing w:before="7" w:after="0"/>
        <w:rPr>
          <w:rFonts w:hint="eastAsia" w:ascii="仿宋" w:hAnsi="仿宋" w:eastAsia="仿宋" w:cs="仿宋"/>
          <w:sz w:val="27"/>
        </w:rPr>
      </w:pP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b/>
          <w:bCs/>
        </w:rPr>
        <w:t xml:space="preserve">第一部分 </w:t>
      </w:r>
      <w:r>
        <w:rPr>
          <w:rFonts w:hint="eastAsia" w:ascii="仿宋" w:hAnsi="仿宋" w:eastAsia="仿宋" w:cs="仿宋"/>
          <w:b/>
          <w:bCs/>
          <w:lang w:val="en-US" w:eastAsia="zh-CN"/>
        </w:rPr>
        <w:t>单位</w:t>
      </w:r>
      <w:r>
        <w:rPr>
          <w:rFonts w:hint="eastAsia" w:ascii="仿宋" w:hAnsi="仿宋" w:eastAsia="仿宋" w:cs="仿宋"/>
          <w:b/>
          <w:bCs/>
        </w:rPr>
        <w:t>概况</w:t>
      </w:r>
    </w:p>
    <w:p>
      <w:pPr>
        <w:pStyle w:val="8"/>
        <w:keepNext w:val="0"/>
        <w:keepLines w:val="0"/>
        <w:pageBreakBefore w:val="0"/>
        <w:widowControl w:val="0"/>
        <w:tabs>
          <w:tab w:val="left" w:pos="2249"/>
        </w:tabs>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一、主要职能</w:t>
      </w:r>
    </w:p>
    <w:p>
      <w:pPr>
        <w:pStyle w:val="8"/>
        <w:keepNext w:val="0"/>
        <w:keepLines w:val="0"/>
        <w:pageBreakBefore w:val="0"/>
        <w:widowControl w:val="0"/>
        <w:tabs>
          <w:tab w:val="left" w:pos="2249"/>
        </w:tabs>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w:t>
      </w:r>
      <w:r>
        <w:rPr>
          <w:rFonts w:hint="eastAsia" w:ascii="仿宋" w:hAnsi="仿宋" w:eastAsia="仿宋" w:cs="仿宋"/>
          <w:lang w:val="en-US" w:eastAsia="zh-CN"/>
        </w:rPr>
        <w:t>单位</w:t>
      </w:r>
      <w:r>
        <w:rPr>
          <w:rFonts w:hint="eastAsia" w:ascii="仿宋" w:hAnsi="仿宋" w:eastAsia="仿宋" w:cs="仿宋"/>
        </w:rPr>
        <w:t>机构设置及决算单位构成情况</w:t>
      </w:r>
    </w:p>
    <w:p>
      <w:pPr>
        <w:pStyle w:val="8"/>
        <w:keepNext w:val="0"/>
        <w:keepLines w:val="0"/>
        <w:pageBreakBefore w:val="0"/>
        <w:widowControl w:val="0"/>
        <w:tabs>
          <w:tab w:val="left" w:pos="2249"/>
        </w:tabs>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三、2020年度主要工作完成情况</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b/>
          <w:bCs/>
        </w:rPr>
      </w:pPr>
      <w:r>
        <w:rPr>
          <w:rFonts w:hint="eastAsia" w:ascii="仿宋" w:hAnsi="仿宋" w:eastAsia="仿宋" w:cs="仿宋"/>
          <w:b/>
          <w:bCs/>
          <w:lang w:val="en-US" w:eastAsia="zh-CN"/>
        </w:rPr>
        <w:t xml:space="preserve">第二部分 </w:t>
      </w:r>
      <w:r>
        <w:rPr>
          <w:rFonts w:hint="eastAsia" w:ascii="仿宋" w:hAnsi="仿宋" w:eastAsia="仿宋" w:cs="仿宋"/>
          <w:b/>
          <w:bCs/>
          <w:color w:val="000000"/>
          <w:sz w:val="30"/>
          <w:szCs w:val="30"/>
          <w:lang w:val="en-US" w:eastAsia="zh-CN" w:bidi="ar"/>
        </w:rPr>
        <w:t>2020</w:t>
      </w:r>
      <w:r>
        <w:rPr>
          <w:rFonts w:hint="eastAsia" w:ascii="仿宋" w:hAnsi="仿宋" w:eastAsia="仿宋" w:cs="仿宋"/>
          <w:b/>
          <w:bCs/>
          <w:lang w:val="en-US" w:eastAsia="zh-CN"/>
        </w:rPr>
        <w:t>年度</w:t>
      </w:r>
      <w:r>
        <w:rPr>
          <w:rFonts w:ascii="仿宋" w:hAnsi="仿宋" w:cs="仿宋" w:eastAsia="仿宋"/>
          <w:b w:val="true"/>
        </w:rPr>
        <w:t>单位</w:t>
      </w:r>
      <w:r>
        <w:rPr>
          <w:rFonts w:ascii="仿宋" w:hAnsi="仿宋" w:cs="仿宋" w:eastAsia="仿宋"/>
          <w:b w:val="true"/>
        </w:rPr>
        <w:t>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5774" w:hanging="11" w:firstLineChars="0"/>
        <w:jc w:val="both"/>
        <w:textAlignment w:val="auto"/>
        <w:rPr>
          <w:rFonts w:hint="eastAsia" w:ascii="仿宋" w:hAnsi="仿宋" w:eastAsia="仿宋" w:cs="仿宋"/>
        </w:rPr>
      </w:pPr>
      <w:r>
        <w:rPr>
          <w:rFonts w:hint="eastAsia" w:ascii="仿宋" w:hAnsi="仿宋" w:eastAsia="仿宋" w:cs="仿宋"/>
          <w:spacing w:val="-2"/>
        </w:rPr>
        <w:t>一、收入支出决算总表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5774" w:hanging="11" w:firstLineChars="0"/>
        <w:jc w:val="both"/>
        <w:textAlignment w:val="auto"/>
        <w:rPr>
          <w:rFonts w:hint="eastAsia" w:ascii="仿宋" w:hAnsi="仿宋" w:eastAsia="仿宋" w:cs="仿宋"/>
        </w:rPr>
      </w:pPr>
      <w:r>
        <w:rPr>
          <w:rFonts w:hint="eastAsia" w:ascii="仿宋" w:hAnsi="仿宋" w:eastAsia="仿宋" w:cs="仿宋"/>
        </w:rPr>
        <w:t>二、收入决算表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w w:val="95"/>
        </w:rPr>
        <w:t>三、支出决算表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四、财政拨款收入支出决算总表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五、财政拨款支出决算表（功能科目）</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2894" w:hanging="11" w:firstLineChars="0"/>
        <w:jc w:val="both"/>
        <w:textAlignment w:val="auto"/>
        <w:rPr>
          <w:rFonts w:hint="eastAsia" w:ascii="仿宋" w:hAnsi="仿宋" w:eastAsia="仿宋" w:cs="仿宋"/>
        </w:rPr>
      </w:pPr>
      <w:r>
        <w:rPr>
          <w:rFonts w:hint="eastAsia" w:ascii="仿宋" w:hAnsi="仿宋" w:eastAsia="仿宋" w:cs="仿宋"/>
        </w:rPr>
        <w:t>六、财政拨款基本支出决算表（经济科目） 七、一般公共预算支出决算表（功能科目）</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八、一般公共预算基本支出决算表（经济科目）</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九、一般公共预算“三公”经费、会议费、培训费支出决算表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十、政府性基金预算收入支出决算表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2575" w:hanging="11" w:firstLineChars="0"/>
        <w:jc w:val="both"/>
        <w:textAlignment w:val="auto"/>
        <w:rPr>
          <w:rFonts w:hint="eastAsia" w:ascii="仿宋" w:hAnsi="仿宋" w:eastAsia="仿宋" w:cs="仿宋"/>
        </w:rPr>
      </w:pPr>
      <w:r>
        <w:rPr>
          <w:rFonts w:hint="eastAsia" w:ascii="仿宋" w:hAnsi="仿宋" w:eastAsia="仿宋" w:cs="仿宋"/>
        </w:rPr>
        <w:t>十一、一般公共预算机关运行经费支出决算表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2575" w:hanging="11" w:firstLineChars="0"/>
        <w:jc w:val="both"/>
        <w:textAlignment w:val="auto"/>
        <w:rPr>
          <w:rFonts w:hint="eastAsia" w:ascii="仿宋" w:hAnsi="仿宋" w:eastAsia="仿宋" w:cs="仿宋"/>
        </w:rPr>
      </w:pPr>
      <w:r>
        <w:rPr>
          <w:rFonts w:hint="eastAsia" w:ascii="仿宋" w:hAnsi="仿宋" w:eastAsia="仿宋" w:cs="仿宋"/>
        </w:rPr>
        <w:t>十二、政府采购支出决算表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2575" w:hanging="11" w:firstLineChars="0"/>
        <w:jc w:val="both"/>
        <w:textAlignment w:val="auto"/>
        <w:rPr>
          <w:rFonts w:hint="eastAsia" w:ascii="仿宋" w:hAnsi="仿宋" w:eastAsia="仿宋" w:cs="仿宋"/>
          <w:b/>
          <w:bCs/>
          <w:color w:val="000000"/>
          <w:sz w:val="30"/>
          <w:szCs w:val="30"/>
          <w:lang w:val="en-US" w:bidi="ar"/>
        </w:rPr>
      </w:pPr>
      <w:r>
        <w:rPr>
          <w:rFonts w:hint="eastAsia" w:ascii="仿宋" w:hAnsi="仿宋" w:eastAsia="仿宋" w:cs="仿宋"/>
          <w:b/>
          <w:bCs/>
          <w:lang w:val="en-US"/>
        </w:rPr>
        <w:t xml:space="preserve">第三部分 </w:t>
      </w:r>
      <w:r>
        <w:rPr>
          <w:rFonts w:hint="eastAsia" w:ascii="仿宋" w:hAnsi="仿宋" w:eastAsia="仿宋" w:cs="仿宋"/>
          <w:b/>
          <w:bCs/>
          <w:color w:val="000000"/>
          <w:sz w:val="30"/>
          <w:szCs w:val="30"/>
          <w:lang w:val="en-US" w:bidi="ar"/>
        </w:rPr>
        <w:t>2020年度</w:t>
      </w:r>
      <w:r>
        <w:rPr>
          <w:rFonts w:ascii="仿宋" w:hAnsi="仿宋" w:cs="仿宋" w:eastAsia="仿宋"/>
          <w:b w:val="true"/>
          <w:color w:val="000000"/>
          <w:sz w:val="30"/>
        </w:rPr>
        <w:t>单位</w:t>
      </w:r>
      <w:r>
        <w:rPr>
          <w:rFonts w:hint="eastAsia" w:ascii="仿宋" w:hAnsi="仿宋" w:eastAsia="仿宋" w:cs="仿宋"/>
          <w:b/>
          <w:bCs/>
          <w:color w:val="000000"/>
          <w:sz w:val="30"/>
          <w:szCs w:val="30"/>
          <w:lang w:val="en-US" w:bidi="ar"/>
        </w:rPr>
        <w:t>决算情况说明</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2575" w:hanging="11" w:firstLineChars="0"/>
        <w:jc w:val="both"/>
        <w:textAlignment w:val="auto"/>
        <w:rPr>
          <w:rFonts w:hint="default" w:ascii="仿宋" w:hAnsi="仿宋" w:eastAsia="仿宋" w:cs="仿宋"/>
          <w:b/>
          <w:bCs/>
          <w:color w:val="000000"/>
          <w:sz w:val="30"/>
          <w:szCs w:val="30"/>
          <w:lang w:val="en-US" w:eastAsia="zh-CN" w:bidi="ar"/>
        </w:rPr>
      </w:pPr>
      <w:r>
        <w:rPr>
          <w:rFonts w:hint="eastAsia" w:ascii="仿宋" w:hAnsi="仿宋" w:eastAsia="仿宋" w:cs="仿宋"/>
          <w:b/>
          <w:bCs/>
          <w:lang w:val="en-US"/>
        </w:rPr>
        <w:t>第</w:t>
      </w:r>
      <w:r>
        <w:rPr>
          <w:rFonts w:hint="eastAsia" w:ascii="仿宋" w:hAnsi="仿宋" w:eastAsia="仿宋" w:cs="仿宋"/>
          <w:b/>
          <w:bCs/>
          <w:lang w:val="en-US" w:eastAsia="zh-CN"/>
        </w:rPr>
        <w:t>四</w:t>
      </w:r>
      <w:r>
        <w:rPr>
          <w:rFonts w:hint="eastAsia" w:ascii="仿宋" w:hAnsi="仿宋" w:eastAsia="仿宋" w:cs="仿宋"/>
          <w:b/>
          <w:bCs/>
          <w:lang w:val="en-US"/>
        </w:rPr>
        <w:t xml:space="preserve">部分 </w:t>
      </w:r>
      <w:r>
        <w:rPr>
          <w:rFonts w:hint="eastAsia" w:ascii="仿宋" w:hAnsi="仿宋" w:eastAsia="仿宋" w:cs="仿宋"/>
          <w:b/>
          <w:bCs/>
          <w:lang w:val="en-US" w:eastAsia="zh-CN"/>
        </w:rPr>
        <w:t>名词解释</w:t>
      </w:r>
    </w:p>
    <w:p>
      <w:pPr>
        <w:pStyle w:val="8"/>
        <w:spacing w:line="235" w:lineRule="auto"/>
        <w:ind w:left="669" w:leftChars="300" w:right="2414" w:hanging="9" w:firstLineChars="0"/>
        <w:jc w:val="both"/>
        <w:rPr>
          <w:rFonts w:hint="eastAsia" w:ascii="仿宋" w:hAnsi="仿宋" w:eastAsia="仿宋" w:cs="仿宋"/>
        </w:rPr>
        <w:sectPr>
          <w:footerReference r:id="rId5" w:type="default"/>
          <w:pgSz w:w="11906" w:h="16838"/>
          <w:pgMar w:top="1580" w:right="700" w:bottom="770" w:left="1020" w:header="283" w:footer="280" w:gutter="0"/>
          <w:pgBorders>
            <w:top w:val="none" w:sz="0" w:space="0"/>
            <w:left w:val="none" w:sz="0" w:space="0"/>
            <w:bottom w:val="none" w:sz="0" w:space="0"/>
            <w:right w:val="none" w:sz="0" w:space="0"/>
          </w:pgBorders>
          <w:pgNumType w:fmt="numberInDash" w:start="1"/>
          <w:cols w:space="720" w:num="1"/>
          <w:formProt w:val="0"/>
          <w:docGrid w:linePitch="100" w:charSpace="0"/>
        </w:sectPr>
      </w:pPr>
    </w:p>
    <w:p>
      <w:pPr>
        <w:pStyle w:val="8"/>
        <w:spacing w:before="1" w:after="0"/>
        <w:rPr>
          <w:rFonts w:ascii="华文仿宋" w:hAnsi="华文仿宋" w:eastAsia="华文仿宋" w:cs="仿宋"/>
          <w:sz w:val="14"/>
        </w:rPr>
      </w:pPr>
    </w:p>
    <w:p>
      <w:pPr>
        <w:pStyle w:val="5"/>
        <w:tabs>
          <w:tab w:val="left" w:pos="4395"/>
        </w:tabs>
        <w:spacing w:line="606" w:lineRule="exact"/>
        <w:ind w:right="504" w:rightChars="229"/>
        <w:jc w:val="center"/>
        <w:rPr>
          <w:rFonts w:hint="eastAsia" w:ascii="仿宋" w:hAnsi="仿宋" w:eastAsia="仿宋" w:cs="仿宋"/>
          <w:b/>
          <w:bCs/>
        </w:rPr>
      </w:pPr>
      <w:r>
        <w:rPr>
          <w:rFonts w:hint="eastAsia" w:ascii="仿宋" w:hAnsi="仿宋" w:eastAsia="仿宋" w:cs="仿宋"/>
          <w:b/>
          <w:bCs/>
        </w:rPr>
        <w:t>第一部分</w:t>
      </w:r>
      <w:r>
        <w:rPr>
          <w:rFonts w:hint="eastAsia" w:ascii="仿宋" w:hAnsi="仿宋" w:eastAsia="仿宋" w:cs="仿宋"/>
          <w:b/>
          <w:bCs/>
          <w:lang w:val="en-US" w:eastAsia="zh-CN"/>
        </w:rPr>
        <w:t xml:space="preserve"> </w:t>
      </w:r>
      <w:r>
        <w:rPr>
          <w:rFonts w:hint="eastAsia" w:ascii="仿宋" w:hAnsi="仿宋" w:eastAsia="仿宋" w:cs="仿宋"/>
          <w:b/>
          <w:bCs/>
        </w:rPr>
        <w:t>单位</w:t>
      </w:r>
      <w:r>
        <w:rPr>
          <w:rFonts w:hint="eastAsia" w:ascii="仿宋" w:hAnsi="仿宋" w:eastAsia="仿宋" w:cs="仿宋"/>
          <w:b/>
          <w:bCs/>
        </w:rPr>
        <w:t>概况</w:t>
      </w:r>
    </w:p>
    <w:p>
      <w:pPr>
        <w:ind w:right="504" w:rightChars="229"/>
        <w:jc w:val="both"/>
        <w:rPr>
          <w:rFonts w:hint="eastAsia"/>
        </w:r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一、主要职能</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1.承担五年制高职、中职、技工等全日制职业教育。</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2.落实好立德树人根本任务。对受教育者进行思想政治教育和职业道德教育，传授职业知识，培养职业技能，进行职业指导，全面提高受教育者的素质。</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3.开展内河船员培训；开展初级工、中级工、高级工、技师、高级技师等培训；开展全省交通运输综合执法人员业务培训、执法能力培训、法治能力提升培训；开展全省企业事业单位岗位技能提升、工种技能鉴定等培训。</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4.提升职业教育现代化水平。推进学校现代化建设，打造省领航学校、现代化实训基地、现代化专业群、智慧校园，建设集实践教学、社会培训、企业真实生产和社会技术服务于一体的高水平职业教育实训基地，大幅提升新时代职业教育现代化水平。</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5.营造良好育人环境。深入开展“劳模工匠进校园”等活动，为促进经济社会发展和提高区域竞争力提供优质人才资源支撑。</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6.推进校企深度融合。实行工学结合、校企合作、顶岗实习的人才培养模式，强化实习实训，与企业开展人才培养、技术创新、就业创业、社会服务、文化传承等方面合作。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7.加强师资队伍建设，提升教学科研水平。坚持人才强校战略，多措并举打造“双师型”教师队伍。</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8.构建国际化开放办学新格局。坚持把国际化融入学校人才培养、科学研究、师资队伍、专业建设以及管理服务等工作，持续推进与德国等境外院校合作与交流，开展焊接、机电、商务管理等专业国际职业资格证书衔接，拓展师生国际化视野。</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二、</w:t>
      </w:r>
      <w:r>
        <w:rPr>
          <w:rFonts w:ascii="仿宋" w:hAnsi="仿宋" w:cs="仿宋" w:eastAsia="仿宋"/>
          <w:b w:val="true"/>
        </w:rPr>
        <w:t>单位</w:t>
      </w:r>
      <w:r>
        <w:rPr>
          <w:rFonts w:hint="eastAsia" w:ascii="仿宋" w:hAnsi="仿宋" w:eastAsia="仿宋" w:cs="仿宋"/>
          <w:b/>
          <w:bCs/>
        </w:rPr>
        <w:t>机构设置及决算单位构成情况</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rPr>
      </w:pPr>
      <w:r>
        <w:rPr>
          <w:rFonts w:hint="eastAsia" w:ascii="仿宋" w:hAnsi="仿宋" w:eastAsia="仿宋" w:cs="仿宋"/>
          <w:lang w:val="en-US" w:eastAsia="zh-CN"/>
        </w:rPr>
        <w:t>1.</w:t>
      </w:r>
      <w:r>
        <w:rPr>
          <w:rFonts w:hint="eastAsia" w:ascii="仿宋" w:hAnsi="仿宋" w:eastAsia="仿宋" w:cs="仿宋"/>
        </w:rPr>
        <w:t>根据</w:t>
      </w:r>
      <w:r>
        <w:rPr>
          <w:rFonts w:hint="eastAsia" w:ascii="仿宋" w:hAnsi="仿宋" w:eastAsia="仿宋" w:cs="仿宋"/>
          <w:lang w:val="en-US" w:eastAsia="zh-CN"/>
        </w:rPr>
        <w:t>单位</w:t>
      </w:r>
      <w:r>
        <w:rPr>
          <w:rFonts w:hint="eastAsia" w:ascii="仿宋" w:hAnsi="仿宋" w:eastAsia="仿宋" w:cs="仿宋"/>
        </w:rPr>
        <w:t>职责分工，本</w:t>
      </w:r>
      <w:r>
        <w:rPr>
          <w:rFonts w:hint="eastAsia" w:ascii="仿宋" w:hAnsi="仿宋" w:eastAsia="仿宋" w:cs="仿宋"/>
          <w:lang w:val="en-US" w:eastAsia="zh-CN"/>
        </w:rPr>
        <w:t>单位</w:t>
      </w:r>
      <w:r>
        <w:rPr>
          <w:rFonts w:hint="eastAsia" w:ascii="仿宋" w:hAnsi="仿宋" w:eastAsia="仿宋" w:cs="仿宋"/>
        </w:rPr>
        <w:t>内设机构包括</w:t>
      </w:r>
      <w:r>
        <w:rPr>
          <w:rFonts w:hint="eastAsia" w:ascii="仿宋" w:hAnsi="仿宋" w:eastAsia="仿宋" w:cs="仿宋"/>
          <w:lang w:eastAsia="zh-CN"/>
        </w:rPr>
        <w:t>：</w:t>
      </w:r>
      <w:r>
        <w:rPr>
          <w:rFonts w:hint="eastAsia" w:ascii="仿宋" w:hAnsi="仿宋" w:eastAsia="仿宋" w:cs="仿宋"/>
          <w:lang w:val="en-US"/>
        </w:rPr>
        <w:t/>
      </w:r>
      <w:r>
        <w:rPr>
          <w:rFonts w:ascii="仿宋" w:hAnsi="仿宋" w:cs="仿宋" w:eastAsia="仿宋"/>
        </w:rPr>
        <w:t/>
      </w:r>
      <w:r>
        <w:rPr>
          <w:rFonts w:ascii="仿宋" w:hAnsi="仿宋" w:cs="仿宋" w:eastAsia="仿宋"/>
        </w:rPr>
        <w:t>党政办公室（党委宣传部）、组织人事处（党校）、财务处（审计处）、教务处（教师教学发展中心）、学生工作处（大学生素质教育中心、大学生创新创业教育中心）、招生就业处（校友工作办公室）、安全保卫处、科技与合作处、发展规划处（教学质量管理办公室、质量体系建设办公室）、资产管理处（招标采购管理办公室）、后勤管理处（基建办）、纪委办公室（监察处）、团委（团校）、工会（离退休工作办公室、医疗管理办公室与工会合署办公）、船舶工程学院、机械工程学院、机电工程学院、汽车工程学院、交通工程学院、信息管理学院、物流管理学院、基础教学部（马克思主义学院）、继续教育学院（国际教育交流中心）、图文信息中心（图书馆、信息化建设办公室）、锡澄校区管理办公室。</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本单位无下属单位。</w:t>
      </w:r>
      <w:r>
        <w:rPr>
          <w:rFonts w:ascii="仿宋" w:hAnsi="仿宋" w:cs="仿宋" w:eastAsia="仿宋"/>
        </w:rPr>
        <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rPr>
      </w:pPr>
      <w:r>
        <w:rPr>
          <w:rFonts w:hint="eastAsia" w:ascii="仿宋" w:hAnsi="仿宋" w:eastAsia="仿宋" w:cs="仿宋"/>
          <w:lang w:val="en-US" w:eastAsia="zh-CN"/>
        </w:rPr>
        <w:t>2.</w:t>
      </w:r>
      <w:r>
        <w:rPr>
          <w:rFonts w:hint="eastAsia" w:ascii="仿宋" w:hAnsi="仿宋" w:eastAsia="仿宋" w:cs="仿宋"/>
        </w:rPr>
        <w:t>从决算单位构成看，纳入本</w:t>
      </w:r>
      <w:r>
        <w:rPr>
          <w:rFonts w:hint="eastAsia" w:ascii="仿宋" w:hAnsi="仿宋" w:eastAsia="仿宋" w:cs="仿宋"/>
          <w:lang w:val="en-US" w:eastAsia="zh-CN"/>
        </w:rPr>
        <w:t>单位</w:t>
      </w:r>
      <w:r>
        <w:rPr>
          <w:rFonts w:hint="eastAsia" w:ascii="仿宋" w:hAnsi="仿宋" w:eastAsia="仿宋" w:cs="仿宋"/>
        </w:rPr>
        <w:t>2020年</w:t>
      </w:r>
      <w:r>
        <w:rPr>
          <w:rFonts w:hint="eastAsia" w:ascii="仿宋" w:hAnsi="仿宋" w:eastAsia="仿宋" w:cs="仿宋"/>
          <w:lang w:val="en-US" w:eastAsia="zh-CN"/>
        </w:rPr>
        <w:t>单位</w:t>
      </w:r>
      <w:r>
        <w:rPr>
          <w:rFonts w:hint="eastAsia" w:ascii="仿宋" w:hAnsi="仿宋" w:eastAsia="仿宋" w:cs="仿宋"/>
        </w:rPr>
        <w:t>汇总决算编制范围的预算单位共计</w:t>
      </w:r>
      <w:r>
        <w:rPr>
          <w:rFonts w:hint="eastAsia" w:ascii="仿宋" w:hAnsi="仿宋" w:eastAsia="仿宋" w:cs="仿宋"/>
          <w:lang w:val="en-US"/>
        </w:rPr>
        <w:t/>
      </w:r>
      <w:r>
        <w:rPr>
          <w:rFonts w:ascii="仿宋" w:hAnsi="仿宋" w:cs="仿宋" w:eastAsia="仿宋"/>
        </w:rPr>
        <w:t/>
      </w:r>
      <w:r>
        <w:rPr>
          <w:rFonts w:ascii="仿宋" w:hAnsi="仿宋" w:cs="仿宋" w:eastAsia="仿宋"/>
        </w:rPr>
        <w:t>1</w:t>
      </w:r>
      <w:r>
        <w:rPr>
          <w:rFonts w:ascii="仿宋" w:hAnsi="仿宋" w:cs="仿宋" w:eastAsia="仿宋"/>
        </w:rPr>
        <w:t/>
      </w:r>
      <w:r>
        <w:rPr>
          <w:rFonts w:ascii="仿宋" w:hAnsi="仿宋" w:cs="仿宋" w:eastAsia="仿宋"/>
        </w:rPr>
        <w:t/>
      </w:r>
      <w:r>
        <w:rPr>
          <w:rFonts w:hint="eastAsia" w:ascii="仿宋" w:hAnsi="仿宋" w:eastAsia="仿宋" w:cs="仿宋"/>
        </w:rPr>
        <w:t>家，具体包括：</w:t>
      </w:r>
      <w:r>
        <w:rPr>
          <w:rFonts w:hint="eastAsia" w:ascii="仿宋" w:hAnsi="仿宋" w:eastAsia="仿宋" w:cs="仿宋"/>
          <w:lang w:val="en-US"/>
        </w:rPr>
        <w:t/>
      </w:r>
      <w:r>
        <w:rPr>
          <w:rFonts w:ascii="仿宋" w:hAnsi="仿宋" w:cs="仿宋" w:eastAsia="仿宋"/>
        </w:rPr>
        <w:t/>
      </w:r>
      <w:r>
        <w:rPr>
          <w:rFonts w:ascii="仿宋" w:hAnsi="仿宋" w:cs="仿宋" w:eastAsia="仿宋"/>
        </w:rPr>
        <w:t>江苏省无锡交通高等职业技术学校。</w:t>
      </w:r>
      <w:r>
        <w:rPr>
          <w:rFonts w:ascii="仿宋" w:hAnsi="仿宋" w:cs="仿宋" w:eastAsia="仿宋"/>
        </w:rPr>
        <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三、2020年度主要工作完成情况</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1.党的建设全面加强。加强理论武装，学校党委始终将党的政治建设摆在首位，深入学习贯彻习近平新时代中国特色社会主义思想。今年组织党委中心组学习19次。适应学校领导体制机制变化，建立和完善了行政会议制度及议事规则，全面落实“三重一大”事项集体决策制度，今年召开党委会26次，召开校务会20次。落实意识形态工作责任制，分别召开意识形态与宣传思想工作座谈会和分析研判会，抓牢抓实意识形态工作。加强基层党组织建设，完成院部党总支、基层党支部换届选举工作。加强干部队伍建设，举办暑期管理骨干能力建设培训班。深化党风廉政建设，组织党风廉政教育月活动，征集廉言廉语300余条，开展制度执行情况专项检查，对制度执行不到位等行为问责提醒，年内开展批评教育17人次。</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2.疫情防控工作卓有成效。根据省厅、地方政府常态化疫情防控要求，制定方案、储备物资、加强管控，组建学校教职工党员先锋队。分批错时安排学生返校复学，组织开展“增强卫生意识、保障师生健康”劳动教育活动，上半年5000余名学生返校复学。学校落实人物同防、多病共防要求，做好常态化疫情防控工作，下半年7100余名学生正常报到开学。</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3.师资队伍建设不断加强。加强师德师风建设，组织开展学校师德主题教育活动，印发学校《教师师德手册》，全校教师签订师德师风承诺书。开展师德师风先进集体、个人评选活动。开展教师招录工作，今年完成三批共25名教师招录，教师中研究生比例达64%。加强青年教师培养，开展新教师入职宣誓，举行了“青蓝工程”师徒结对仪式，举办“青年论坛”活动，帮助青年教师快速成长。提升人才层次，22人获得中、高级职称。1人入选省交通运输行业“高层次领军人才培养计划”，3人获“优秀交通青年”。科研水平不断提升，全年教职工公开发表论文276篇，市级以上课题立项11项。《党建文化长廊》获社科普及项目经费资助，学校获评联院“教科研先进集体”荣誉称号，1个项目获2019年无锡市教学成果奖一等奖。</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4.专业建设不断推进。优化专业结构，新开设4个专业。2个专业获批“3+4”中职本科贯通培养项目，5个专业获批“3+3”中职高职贯通培养项目。计算机应用技术专业群被认定为“江苏省职业学校现代化专业群”。实训基地建设取得新成效，汽车检测与维修技术实训基地被评为江苏省现代化实训基地。完成江苏省交通运输物联网技术等3个实训基地建设，初步建成交通行业船文化中心。深化产教融合，与15家企业签订校企合作培养协议，与天目湖旅游公司等开展现代学徒制项目。与无锡交建集团共建技术研究中心。与省内“独角兽”企业共同主办“运满满”物流发展论坛。与无锡信捷公司合作入选厅属院校第一批产教融合试点项目。加快课程资源建设，开展网络课程资源建设，全校有315门课程实现网络教学。2020年，《电子技术与技能训练》等三门课程获评无锡市精品课程。</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5.招生就业取得好成绩。学校2020年实际招生2173人，圆满完成本年度招生计划。做好毕业生就业工作，2020届毕业学生1726人，到目前为止就业率达91.20%。实现“进出两旺”。</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6.技能大赛取得新突破。获得全国技能大赛一等奖1项，两名教师被授予全国技术能手荣誉称号。在省技能大赛中获得一等奖1项，二、三等奖13项，6名教师荣获“优秀教练”称号。《纸创空间》项目在“挑战杯”省大学生创业计划决赛中获得金奖。</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7.智慧校园建设持续推进。完成了学校超融合数据中心和智慧教室改造工程，开发了新生报名缴费系统，完成了学校综合门户网站建设。为适应疫情常态化管理要求，学校设计开发了师生健康上报系统和学生出入管理系统。引入农业银行无锡分行开展战略合作，完成校园一卡通系统、财务收缴费系统和学生宿舍电控系统升级改造工作。今年获评“江苏省职业学校智慧校园”。</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8.积极开展社会服务。主动服务国家战略，开展东西合作教育扶贫工作。与陕西洛川、云南大理开展联合招生106人。承接陕西省中职校18位管理人员研修工作。服务区域经济社会发展。全年开展社会培训、技能考证等社会服务共 12950 人次。</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9.国际合作办学不断深入。拓展德国手工业行会合作项目，增加了物流管理师班，今年完成国际合作4个班，共95人的招生工作。组织15名教师参加了中德合作项目的师资培训。</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10.为师生办实事。开展在宿舍楼公共区域配备冰箱和微波炉等10项为师生办实事项目。引入校园直饮水、生活开水、洗浴热水BOT项目，为所有教室配备了窗帘和生活柜。</w:t>
      </w:r>
      <w:r>
        <w:rPr>
          <w:rFonts w:ascii="仿宋" w:hAnsi="仿宋" w:cs="仿宋" w:eastAsia="仿宋"/>
        </w:rPr>
        <w:t/>
      </w:r>
    </w:p>
    <w:p>
      <w:pPr>
        <w:pStyle w:val="21"/>
        <w:tabs>
          <w:tab w:val="left" w:pos="1100"/>
          <w:tab w:val="left" w:pos="1609"/>
        </w:tabs>
        <w:spacing w:before="12" w:after="0" w:line="300" w:lineRule="auto"/>
        <w:ind w:left="1208" w:right="880" w:firstLine="0"/>
        <w:jc w:val="both"/>
        <w:rPr>
          <w:rFonts w:ascii="华文仿宋" w:hAnsi="华文仿宋" w:eastAsia="华文仿宋" w:cs="仿宋"/>
          <w:lang w:val="en-US"/>
        </w:rPr>
      </w:pPr>
      <w:r>
        <w:br w:type="page"/>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rPr>
        <w:t>第二部分</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u w:val="none"/>
        </w:rPr>
        <w:t>江苏省无锡交通高等职业技术学校</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rPr>
        <w:t>2020年度</w:t>
      </w:r>
    </w:p>
    <w:p>
      <w:pPr>
        <w:pStyle w:val="21"/>
        <w:widowControl w:val="0"/>
        <w:tabs>
          <w:tab w:val="left" w:pos="1609"/>
        </w:tabs>
        <w:suppressAutoHyphens/>
        <w:bidi w:val="0"/>
        <w:spacing w:before="12" w:after="0" w:line="300" w:lineRule="auto"/>
        <w:ind w:left="340" w:right="567" w:firstLine="0"/>
        <w:jc w:val="center"/>
        <w:rPr>
          <w:rFonts w:ascii="宋体" w:hAnsi="宋体" w:eastAsia="宋体" w:cs="仿宋"/>
          <w:b/>
          <w:bCs/>
          <w:sz w:val="44"/>
          <w:szCs w:val="44"/>
        </w:rPr>
      </w:pPr>
      <w:r>
        <w:rPr>
          <w:rFonts w:hint="eastAsia" w:ascii="仿宋" w:hAnsi="仿宋" w:eastAsia="仿宋" w:cs="仿宋"/>
          <w:b/>
          <w:bCs/>
          <w:sz w:val="44"/>
          <w:szCs w:val="44"/>
          <w:lang w:val="en-US" w:eastAsia="zh-CN"/>
        </w:rPr>
        <w:t>单位</w:t>
      </w:r>
      <w:r>
        <w:rPr>
          <w:rFonts w:ascii="仿宋" w:hAnsi="仿宋" w:cs="仿宋" w:eastAsia="仿宋"/>
          <w:b w:val="true"/>
          <w:sz w:val="44"/>
        </w:rPr>
        <w:t>决算表</w:t>
      </w:r>
    </w:p>
    <w:tbl>
      <w:tblPr>
        <w:tblStyle w:val="12"/>
        <w:tblW w:w="11331" w:type="dxa"/>
        <w:jc w:val="center"/>
        <w:tblLayout w:type="fixed"/>
        <w:tblCellMar>
          <w:top w:w="0" w:type="dxa"/>
          <w:left w:w="108" w:type="dxa"/>
          <w:bottom w:w="0" w:type="dxa"/>
          <w:right w:w="108" w:type="dxa"/>
        </w:tblCellMar>
      </w:tblPr>
      <w:tblGrid>
        <w:gridCol w:w="3908"/>
        <w:gridCol w:w="1869"/>
        <w:gridCol w:w="3704"/>
        <w:gridCol w:w="67"/>
        <w:gridCol w:w="1781"/>
        <w:gridCol w:w="2"/>
      </w:tblGrid>
      <w:tr>
        <w:tblPrEx>
          <w:tblCellMar>
            <w:top w:w="0" w:type="dxa"/>
            <w:left w:w="108" w:type="dxa"/>
            <w:bottom w:w="0" w:type="dxa"/>
            <w:right w:w="108" w:type="dxa"/>
          </w:tblCellMar>
        </w:tblPrEx>
        <w:trPr>
          <w:trHeight w:val="544" w:hRule="atLeast"/>
          <w:jc w:val="center"/>
        </w:trPr>
        <w:tc>
          <w:tcPr>
            <w:tcW w:w="11329" w:type="dxa"/>
            <w:gridSpan w:val="5"/>
          </w:tcPr>
          <w:p>
            <w:pPr>
              <w:pageBreakBefore/>
              <w:widowControl w:val="0"/>
              <w:ind w:left="0" w:right="0" w:firstLine="0"/>
              <w:jc w:val="center"/>
              <w:textAlignment w:val="auto"/>
              <w:rPr>
                <w:rFonts w:hint="eastAsia" w:ascii="仿宋" w:hAnsi="仿宋" w:eastAsia="仿宋" w:cs="仿宋"/>
                <w:b/>
                <w:bCs/>
                <w:color w:val="000000"/>
              </w:rPr>
            </w:pPr>
            <w:r>
              <w:rPr>
                <w:rFonts w:hint="eastAsia" w:ascii="仿宋" w:hAnsi="仿宋" w:eastAsia="仿宋" w:cs="仿宋"/>
                <w:b/>
                <w:bCs/>
                <w:color w:val="000000"/>
                <w:sz w:val="44"/>
                <w:szCs w:val="44"/>
                <w:lang w:eastAsia="ar-SA"/>
              </w:rPr>
              <w:t>收入支出决算总表</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348" w:hRule="atLeast"/>
          <w:jc w:val="center"/>
        </w:trPr>
        <w:tc>
          <w:tcPr>
            <w:tcW w:w="3908" w:type="dxa"/>
          </w:tcPr>
          <w:p>
            <w:pPr>
              <w:widowControl w:val="0"/>
              <w:ind w:left="0" w:right="0" w:firstLine="0"/>
              <w:jc w:val="left"/>
              <w:textAlignment w:val="auto"/>
              <w:rPr>
                <w:rFonts w:hint="eastAsia" w:ascii="仿宋" w:hAnsi="仿宋" w:eastAsia="仿宋" w:cs="仿宋"/>
                <w:color w:val="000000"/>
                <w:sz w:val="20"/>
              </w:rPr>
            </w:pPr>
          </w:p>
        </w:tc>
        <w:tc>
          <w:tcPr>
            <w:tcW w:w="1869" w:type="dxa"/>
          </w:tcPr>
          <w:p>
            <w:pPr>
              <w:widowControl w:val="0"/>
              <w:ind w:left="0" w:right="0" w:firstLine="0"/>
              <w:jc w:val="left"/>
              <w:textAlignment w:val="auto"/>
              <w:rPr>
                <w:rFonts w:hint="eastAsia" w:ascii="仿宋" w:hAnsi="仿宋" w:eastAsia="仿宋" w:cs="仿宋"/>
                <w:color w:val="000000"/>
                <w:sz w:val="20"/>
              </w:rPr>
            </w:pPr>
          </w:p>
        </w:tc>
        <w:tc>
          <w:tcPr>
            <w:tcW w:w="5552" w:type="dxa"/>
            <w:gridSpan w:val="3"/>
          </w:tcPr>
          <w:p>
            <w:pPr>
              <w:widowControl w:val="0"/>
              <w:ind w:left="0" w:right="0" w:firstLine="0"/>
              <w:jc w:val="right"/>
              <w:textAlignment w:val="auto"/>
              <w:rPr>
                <w:rFonts w:hint="eastAsia" w:ascii="仿宋" w:hAnsi="仿宋" w:eastAsia="仿宋" w:cs="仿宋"/>
                <w:color w:val="000000"/>
                <w:sz w:val="22"/>
              </w:rPr>
            </w:pPr>
            <w:r>
              <w:rPr>
                <w:rFonts w:hint="eastAsia" w:ascii="仿宋" w:hAnsi="仿宋" w:eastAsia="仿宋" w:cs="仿宋"/>
                <w:color w:val="000000"/>
                <w:sz w:val="22"/>
                <w:szCs w:val="22"/>
                <w:lang w:eastAsia="ar-SA"/>
              </w:rPr>
              <w:t>公开01表</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333" w:hRule="atLeast"/>
          <w:jc w:val="center"/>
        </w:trPr>
        <w:tc>
          <w:tcPr>
            <w:tcW w:w="9481" w:type="dxa"/>
            <w:gridSpan w:val="3"/>
            <w:tcBorders>
              <w:bottom w:val="single" w:color="000000" w:sz="4" w:space="0"/>
            </w:tcBorders>
            <w:vAlign w:val="center"/>
          </w:tcPr>
          <w:p>
            <w:pPr>
              <w:widowControl w:val="0"/>
              <w:ind w:left="0" w:right="0" w:firstLine="0"/>
              <w:jc w:val="left"/>
              <w:textAlignment w:val="auto"/>
              <w:rPr>
                <w:rFonts w:hint="eastAsia" w:ascii="仿宋" w:hAnsi="仿宋" w:eastAsia="仿宋" w:cs="仿宋"/>
                <w:color w:val="000000"/>
                <w:sz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名称：</w:t>
            </w:r>
            <w:r>
              <w:rPr>
                <w:rFonts w:hint="eastAsia" w:ascii="仿宋" w:hAnsi="仿宋" w:eastAsia="仿宋" w:cs="仿宋"/>
                <w:color w:val="000000"/>
                <w:sz w:val="22"/>
                <w:szCs w:val="22"/>
                <w:lang w:eastAsia="ar-SA"/>
              </w:rPr>
              <w:t>江苏省无锡交通高等职业技术学校</w:t>
            </w:r>
          </w:p>
        </w:tc>
        <w:tc>
          <w:tcPr>
            <w:tcW w:w="1848" w:type="dxa"/>
            <w:gridSpan w:val="2"/>
            <w:tcBorders>
              <w:bottom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rPr>
            </w:pPr>
            <w:r>
              <w:rPr>
                <w:rFonts w:hint="eastAsia" w:ascii="仿宋" w:hAnsi="仿宋" w:eastAsia="仿宋" w:cs="仿宋"/>
                <w:color w:val="000000"/>
                <w:sz w:val="22"/>
              </w:rPr>
              <w:t>金额单位：万元</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450" w:hRule="atLeast"/>
          <w:jc w:val="center"/>
        </w:trPr>
        <w:tc>
          <w:tcPr>
            <w:tcW w:w="5777"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收入</w:t>
            </w:r>
          </w:p>
        </w:tc>
        <w:tc>
          <w:tcPr>
            <w:tcW w:w="5552" w:type="dxa"/>
            <w:gridSpan w:val="3"/>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支出</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395"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w:r>
            <w:r>
              <w:rPr>
                <w:rFonts w:ascii="仿宋" w:hAnsi="仿宋" w:cs="仿宋" w:eastAsia="仿宋"/>
                <w:color w:val="000000"/>
                <w:sz w:val="22"/>
              </w:rPr>
              <w:t>项目</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决算数</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按功能分类</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决算数</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345"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一、一般公共预算财政拨款收入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13,193.29</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一、一般公共服务支出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345"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二、政府性基金预算财政拨款收入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二、外交支出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345"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三、国有资本经营预算财政拨款收入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三、国防支出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345"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四、上级补助收入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四、公共安全支出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345"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五、事业收入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2,150.00</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五、教育支出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11,983.41</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345"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六、经营收入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六、科学技术支出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345"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七、附属单位上缴收入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七、文化旅游体育与传媒支出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345"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八、其他收入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327.60</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八、社会保障和就业支出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824.40</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345"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九、卫生健康支出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345"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十、节能环保支出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345"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十一、城乡社区支出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345"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十二、农林水支出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345"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十三、交通运输支出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12.00</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345"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十四、资源勘探工业信息等支出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345"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十五、商业服务业等支出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345"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十六、金融支出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345"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十七、援助其他地区支出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345"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十八、自然资源海洋气象等支出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345"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十九、住房保障支出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1,570.11</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345"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二十、粮油物资储备支出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345"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二十一、国有资本经营预算支出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345"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二十二、灾害防治及应急管理支出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345"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二十三、其他支出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345"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二十四、债务还本支出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345"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二十五、债务付息支出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345"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二十六、抗疫特别国债安排的支出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454"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val="0"/>
                <w:bCs w:val="0"/>
                <w:color w:val="000000"/>
                <w:sz w:val="22"/>
                <w:szCs w:val="22"/>
                <w:lang w:eastAsia="ar-SA"/>
              </w:rPr>
              <w:t/>
            </w:r>
            <w:r>
              <w:rPr>
                <w:rFonts w:hint="eastAsia" w:ascii="仿宋" w:hAnsi="仿宋" w:eastAsia="仿宋" w:cs="仿宋"/>
                <w:b/>
                <w:bCs/>
                <w:color w:val="000000"/>
                <w:sz w:val="22"/>
                <w:szCs w:val="22"/>
                <w:lang w:eastAsia="ar-SA"/>
              </w:rPr>
              <w:t>本年收入合计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15,670.89</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ar-SA"/>
              </w:rPr>
              <w:t>本年支出合计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14,389.93</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413"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xml:space="preserve">    使用非财政拨款结余</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xml:space="preserve">    结余分配</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413"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xml:space="preserve">    年初结转和结余</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502.94</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xml:space="preserve">    年末结转和结余</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1,783.91</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383" w:hRule="atLeast"/>
          <w:jc w:val="center"/>
        </w:trPr>
        <w:tc>
          <w:tcPr>
            <w:tcW w:w="3908" w:type="dxa"/>
            <w:tcBorders>
              <w:top w:val="single" w:color="000000" w:sz="4" w:space="0"/>
              <w:left w:val="single" w:color="000000" w:sz="4" w:space="0"/>
              <w:bottom w:val="single" w:color="000000" w:sz="4" w:space="0"/>
              <w:right w:val="single" w:color="000000" w:sz="4" w:space="0"/>
            </w:tcBorders>
          </w:tcPr>
          <w:p>
            <w:pPr>
              <w:widowControl w:val="0"/>
              <w:jc w:val="left"/>
              <w:rPr>
                <w:rFonts w:hint="eastAsia" w:ascii="仿宋" w:hAnsi="仿宋" w:eastAsia="仿宋" w:cs="仿宋"/>
                <w:color w:val="000000"/>
                <w:sz w:val="22"/>
                <w:szCs w:val="22"/>
              </w:rPr>
            </w:pPr>
          </w:p>
        </w:tc>
        <w:tc>
          <w:tcPr>
            <w:tcW w:w="1869" w:type="dxa"/>
            <w:tcBorders>
              <w:top w:val="single" w:color="000000" w:sz="4" w:space="0"/>
              <w:left w:val="single" w:color="000000" w:sz="4" w:space="0"/>
              <w:bottom w:val="single" w:color="000000" w:sz="4" w:space="0"/>
              <w:right w:val="single" w:color="000000" w:sz="4" w:space="0"/>
            </w:tcBorders>
          </w:tcPr>
          <w:p>
            <w:pPr>
              <w:widowControl w:val="0"/>
              <w:jc w:val="left"/>
              <w:rPr>
                <w:rFonts w:hint="eastAsia" w:ascii="仿宋" w:hAnsi="仿宋" w:eastAsia="仿宋" w:cs="仿宋"/>
                <w:color w:val="000000"/>
                <w:sz w:val="22"/>
                <w:szCs w:val="22"/>
              </w:rPr>
            </w:pPr>
          </w:p>
        </w:tc>
        <w:tc>
          <w:tcPr>
            <w:tcW w:w="3771" w:type="dxa"/>
            <w:gridSpan w:val="2"/>
            <w:tcBorders>
              <w:top w:val="single" w:color="000000" w:sz="4" w:space="0"/>
              <w:left w:val="single" w:color="000000" w:sz="4" w:space="0"/>
              <w:bottom w:val="single" w:color="000000" w:sz="4" w:space="0"/>
              <w:right w:val="single" w:color="000000" w:sz="4" w:space="0"/>
            </w:tcBorders>
          </w:tcPr>
          <w:p>
            <w:pPr>
              <w:widowControl w:val="0"/>
              <w:jc w:val="left"/>
              <w:rPr>
                <w:rFonts w:hint="eastAsia" w:ascii="仿宋" w:hAnsi="仿宋" w:eastAsia="仿宋" w:cs="仿宋"/>
                <w:color w:val="000000"/>
                <w:sz w:val="22"/>
                <w:szCs w:val="22"/>
              </w:rPr>
            </w:pPr>
          </w:p>
        </w:tc>
        <w:tc>
          <w:tcPr>
            <w:tcW w:w="1781" w:type="dxa"/>
            <w:tcBorders>
              <w:top w:val="single" w:color="000000" w:sz="4" w:space="0"/>
              <w:left w:val="single" w:color="000000" w:sz="4" w:space="0"/>
              <w:bottom w:val="single" w:color="000000" w:sz="4" w:space="0"/>
              <w:right w:val="single" w:color="000000" w:sz="4" w:space="0"/>
            </w:tcBorders>
          </w:tcPr>
          <w:p>
            <w:pPr>
              <w:widowControl w:val="0"/>
              <w:jc w:val="left"/>
              <w:rPr>
                <w:rFonts w:hint="eastAsia" w:ascii="仿宋" w:hAnsi="仿宋" w:eastAsia="仿宋" w:cs="仿宋"/>
                <w:color w:val="000000"/>
                <w:sz w:val="22"/>
                <w:szCs w:val="22"/>
              </w:rPr>
            </w:pP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cantSplit/>
          <w:trHeight w:val="454"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eastAsia="ar-SA"/>
              </w:rPr>
              <w:t>总计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16,173.84</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eastAsia="ar-SA"/>
              </w:rPr>
              <w:t>总计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16,173.84</w:t>
            </w:r>
          </w:p>
        </w:tc>
        <w:tc>
          <w:tcPr>
            <w:tcW w:w="2" w:type="dxa"/>
          </w:tcPr>
          <w:p>
            <w:pPr>
              <w:widowControl w:val="0"/>
              <w:jc w:val="left"/>
              <w:rPr>
                <w:rFonts w:hint="eastAsia" w:ascii="仿宋" w:hAnsi="仿宋" w:eastAsia="仿宋" w:cs="仿宋"/>
                <w:sz w:val="20"/>
              </w:rPr>
            </w:pPr>
          </w:p>
        </w:tc>
      </w:tr>
    </w:tbl>
    <w:p>
      <w:pPr>
        <w:widowControl w:val="0"/>
        <w:suppressAutoHyphens/>
        <w:bidi w:val="0"/>
        <w:spacing w:before="66" w:after="0"/>
        <w:ind w:left="-440" w:leftChars="-200" w:right="0" w:firstLine="0" w:firstLineChars="0"/>
        <w:jc w:val="left"/>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注：1.本表金额转换为万元时，因四舍五入可能存在尾差。</w:t>
      </w:r>
    </w:p>
    <w:p>
      <w:pPr>
        <w:widowControl w:val="0"/>
        <w:suppressAutoHyphens/>
        <w:bidi w:val="0"/>
        <w:spacing w:before="66" w:after="0"/>
        <w:ind w:right="0"/>
        <w:jc w:val="left"/>
        <w:rPr>
          <w:rFonts w:hint="eastAsia" w:ascii="仿宋" w:hAnsi="仿宋" w:eastAsia="仿宋" w:cs="仿宋"/>
          <w:b/>
          <w:bCs/>
          <w:color w:val="000000"/>
          <w:sz w:val="22"/>
          <w:szCs w:val="22"/>
        </w:rPr>
        <w:sectPr>
          <w:footerReference r:id="rId6" w:type="default"/>
          <w:pgSz w:w="11906" w:h="16838"/>
          <w:pgMar w:top="1580" w:right="700" w:bottom="770" w:left="10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6121" w:type="dxa"/>
        <w:jc w:val="center"/>
        <w:tblLayout w:type="fixed"/>
        <w:tblCellMar>
          <w:top w:w="0" w:type="dxa"/>
          <w:left w:w="108" w:type="dxa"/>
          <w:bottom w:w="0" w:type="dxa"/>
          <w:right w:w="108" w:type="dxa"/>
        </w:tblCellMar>
      </w:tblPr>
      <w:tblGrid>
        <w:gridCol w:w="1599"/>
        <w:gridCol w:w="2236"/>
        <w:gridCol w:w="1680"/>
        <w:gridCol w:w="1646"/>
        <w:gridCol w:w="1354"/>
        <w:gridCol w:w="1646"/>
        <w:gridCol w:w="1543"/>
        <w:gridCol w:w="1457"/>
        <w:gridCol w:w="1509"/>
        <w:gridCol w:w="1451"/>
      </w:tblGrid>
      <w:tr>
        <w:tblPrEx>
          <w:tblCellMar>
            <w:top w:w="0" w:type="dxa"/>
            <w:left w:w="108" w:type="dxa"/>
            <w:bottom w:w="0" w:type="dxa"/>
            <w:right w:w="108" w:type="dxa"/>
          </w:tblCellMar>
        </w:tblPrEx>
        <w:trPr>
          <w:trHeight w:val="627" w:hRule="atLeast"/>
          <w:jc w:val="center"/>
        </w:trPr>
        <w:tc>
          <w:tcPr>
            <w:tcW w:w="16121" w:type="dxa"/>
            <w:gridSpan w:val="10"/>
            <w:vAlign w:val="center"/>
          </w:tcPr>
          <w:p>
            <w:pPr>
              <w:pStyle w:val="5"/>
              <w:widowControl w:val="0"/>
              <w:rPr>
                <w:rFonts w:hint="eastAsia" w:ascii="仿宋" w:hAnsi="仿宋" w:eastAsia="仿宋" w:cs="仿宋"/>
                <w:b/>
                <w:bCs/>
                <w:sz w:val="44"/>
                <w:szCs w:val="44"/>
                <w:lang w:val="en-US" w:eastAsia="zh-CN"/>
              </w:rPr>
            </w:pPr>
            <w:r>
              <w:rPr>
                <w:rFonts w:hint="eastAsia" w:ascii="仿宋" w:hAnsi="仿宋" w:eastAsia="仿宋" w:cs="仿宋"/>
                <w:b/>
                <w:bCs/>
                <w:sz w:val="44"/>
                <w:szCs w:val="44"/>
              </w:rPr>
              <w:t>收入决算表</w:t>
            </w:r>
          </w:p>
        </w:tc>
      </w:tr>
      <w:tr>
        <w:tblPrEx>
          <w:tblCellMar>
            <w:top w:w="0" w:type="dxa"/>
            <w:left w:w="108" w:type="dxa"/>
            <w:bottom w:w="0" w:type="dxa"/>
            <w:right w:w="108" w:type="dxa"/>
          </w:tblCellMar>
        </w:tblPrEx>
        <w:trPr>
          <w:trHeight w:val="314" w:hRule="atLeast"/>
          <w:jc w:val="center"/>
        </w:trPr>
        <w:tc>
          <w:tcPr>
            <w:tcW w:w="3835" w:type="dxa"/>
            <w:gridSpan w:val="2"/>
            <w:vAlign w:val="center"/>
          </w:tcPr>
          <w:p>
            <w:pPr>
              <w:pStyle w:val="22"/>
              <w:widowControl w:val="0"/>
              <w:jc w:val="center"/>
              <w:rPr>
                <w:rFonts w:hint="eastAsia" w:ascii="仿宋" w:hAnsi="仿宋" w:eastAsia="仿宋" w:cs="仿宋"/>
              </w:rPr>
            </w:pPr>
          </w:p>
        </w:tc>
        <w:tc>
          <w:tcPr>
            <w:tcW w:w="1680" w:type="dxa"/>
            <w:vAlign w:val="center"/>
          </w:tcPr>
          <w:p>
            <w:pPr>
              <w:pStyle w:val="22"/>
              <w:widowControl w:val="0"/>
              <w:jc w:val="center"/>
              <w:rPr>
                <w:rFonts w:hint="eastAsia" w:ascii="仿宋" w:hAnsi="仿宋" w:eastAsia="仿宋" w:cs="仿宋"/>
              </w:rPr>
            </w:pPr>
          </w:p>
        </w:tc>
        <w:tc>
          <w:tcPr>
            <w:tcW w:w="1646" w:type="dxa"/>
            <w:vAlign w:val="center"/>
          </w:tcPr>
          <w:p>
            <w:pPr>
              <w:pStyle w:val="22"/>
              <w:widowControl w:val="0"/>
              <w:jc w:val="center"/>
              <w:rPr>
                <w:rFonts w:hint="eastAsia" w:ascii="仿宋" w:hAnsi="仿宋" w:eastAsia="仿宋" w:cs="仿宋"/>
              </w:rPr>
            </w:pPr>
          </w:p>
        </w:tc>
        <w:tc>
          <w:tcPr>
            <w:tcW w:w="1354" w:type="dxa"/>
            <w:vAlign w:val="center"/>
          </w:tcPr>
          <w:p>
            <w:pPr>
              <w:pStyle w:val="22"/>
              <w:widowControl w:val="0"/>
              <w:jc w:val="center"/>
              <w:rPr>
                <w:rFonts w:hint="eastAsia" w:ascii="仿宋" w:hAnsi="仿宋" w:eastAsia="仿宋" w:cs="仿宋"/>
              </w:rPr>
            </w:pPr>
          </w:p>
        </w:tc>
        <w:tc>
          <w:tcPr>
            <w:tcW w:w="3189" w:type="dxa"/>
            <w:gridSpan w:val="2"/>
            <w:vAlign w:val="center"/>
          </w:tcPr>
          <w:p>
            <w:pPr>
              <w:pStyle w:val="22"/>
              <w:widowControl w:val="0"/>
              <w:jc w:val="center"/>
              <w:rPr>
                <w:rFonts w:hint="eastAsia" w:ascii="仿宋" w:hAnsi="仿宋" w:eastAsia="仿宋" w:cs="仿宋"/>
              </w:rPr>
            </w:pPr>
          </w:p>
        </w:tc>
        <w:tc>
          <w:tcPr>
            <w:tcW w:w="1457" w:type="dxa"/>
            <w:vAlign w:val="center"/>
          </w:tcPr>
          <w:p>
            <w:pPr>
              <w:pStyle w:val="22"/>
              <w:widowControl w:val="0"/>
              <w:jc w:val="center"/>
              <w:rPr>
                <w:rFonts w:hint="eastAsia" w:ascii="仿宋" w:hAnsi="仿宋" w:eastAsia="仿宋" w:cs="仿宋"/>
              </w:rPr>
            </w:pPr>
          </w:p>
        </w:tc>
        <w:tc>
          <w:tcPr>
            <w:tcW w:w="2960" w:type="dxa"/>
            <w:gridSpan w:val="2"/>
            <w:vAlign w:val="center"/>
          </w:tcPr>
          <w:p>
            <w:pPr>
              <w:pStyle w:val="22"/>
              <w:widowControl w:val="0"/>
              <w:jc w:val="right"/>
              <w:rPr>
                <w:rFonts w:hint="eastAsia" w:ascii="仿宋" w:hAnsi="仿宋" w:eastAsia="仿宋" w:cs="仿宋"/>
              </w:rPr>
            </w:pPr>
            <w:r>
              <w:rPr>
                <w:rFonts w:hint="eastAsia" w:ascii="仿宋" w:hAnsi="仿宋" w:eastAsia="仿宋" w:cs="仿宋"/>
              </w:rPr>
              <w:t>公开02表</w:t>
            </w:r>
          </w:p>
        </w:tc>
      </w:tr>
      <w:tr>
        <w:tblPrEx>
          <w:tblCellMar>
            <w:top w:w="0" w:type="dxa"/>
            <w:left w:w="108" w:type="dxa"/>
            <w:bottom w:w="0" w:type="dxa"/>
            <w:right w:w="108" w:type="dxa"/>
          </w:tblCellMar>
        </w:tblPrEx>
        <w:trPr>
          <w:trHeight w:val="376" w:hRule="atLeast"/>
          <w:jc w:val="center"/>
        </w:trPr>
        <w:tc>
          <w:tcPr>
            <w:tcW w:w="13161" w:type="dxa"/>
            <w:gridSpan w:val="8"/>
            <w:vAlign w:val="center"/>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cs="仿宋" w:eastAsia="仿宋"/>
                <w:color w:val="000000"/>
                <w:sz w:val="22"/>
              </w:rPr>
              <w:t>名称：</w:t>
            </w:r>
            <w:r>
              <w:rPr>
                <w:rFonts w:hint="eastAsia" w:ascii="仿宋" w:hAnsi="仿宋" w:eastAsia="仿宋" w:cs="仿宋"/>
              </w:rPr>
              <w:t>江苏省无锡交通高等职业技术学校</w:t>
            </w:r>
          </w:p>
        </w:tc>
        <w:tc>
          <w:tcPr>
            <w:tcW w:w="2960" w:type="dxa"/>
            <w:gridSpan w:val="2"/>
            <w:vAlign w:val="center"/>
          </w:tcPr>
          <w:p>
            <w:pPr>
              <w:pStyle w:val="22"/>
              <w:widowControl w:val="0"/>
              <w:jc w:val="right"/>
              <w:rPr>
                <w:rFonts w:hint="eastAsia" w:ascii="仿宋" w:hAnsi="仿宋" w:eastAsia="仿宋" w:cs="仿宋"/>
              </w:rPr>
            </w:pPr>
            <w:r>
              <w:rPr>
                <w:rFonts w:hint="eastAsia" w:ascii="仿宋" w:hAnsi="仿宋" w:eastAsia="仿宋" w:cs="仿宋"/>
              </w:rPr>
              <w:t>金额单位：万元</w:t>
            </w:r>
          </w:p>
        </w:tc>
      </w:tr>
      <w:tr>
        <w:tblPrEx>
          <w:tblCellMar>
            <w:top w:w="0" w:type="dxa"/>
            <w:left w:w="108" w:type="dxa"/>
            <w:bottom w:w="0" w:type="dxa"/>
            <w:right w:w="108" w:type="dxa"/>
          </w:tblCellMar>
        </w:tblPrEx>
        <w:trPr>
          <w:cantSplit/>
          <w:trHeight w:val="312" w:hRule="atLeast"/>
          <w:jc w:val="center"/>
        </w:trPr>
        <w:tc>
          <w:tcPr>
            <w:tcW w:w="3835"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w:t>
            </w:r>
          </w:p>
        </w:tc>
        <w:tc>
          <w:tcPr>
            <w:tcW w:w="1680" w:type="dxa"/>
            <w:vMerge w:val="restart"/>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本年收入合计</w:t>
            </w:r>
          </w:p>
        </w:tc>
        <w:tc>
          <w:tcPr>
            <w:tcW w:w="1646" w:type="dxa"/>
            <w:vMerge w:val="restart"/>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财政拨款收入</w:t>
            </w:r>
          </w:p>
        </w:tc>
        <w:tc>
          <w:tcPr>
            <w:tcW w:w="1354" w:type="dxa"/>
            <w:vMerge w:val="restart"/>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上级补助收入</w:t>
            </w:r>
          </w:p>
        </w:tc>
        <w:tc>
          <w:tcPr>
            <w:tcW w:w="3189"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事业收入</w:t>
            </w:r>
          </w:p>
        </w:tc>
        <w:tc>
          <w:tcPr>
            <w:tcW w:w="1457" w:type="dxa"/>
            <w:vMerge w:val="restart"/>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经营收入</w:t>
            </w:r>
          </w:p>
        </w:tc>
        <w:tc>
          <w:tcPr>
            <w:tcW w:w="1509" w:type="dxa"/>
            <w:vMerge w:val="restart"/>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附属单位上缴收入</w:t>
            </w:r>
          </w:p>
        </w:tc>
        <w:tc>
          <w:tcPr>
            <w:tcW w:w="1451" w:type="dxa"/>
            <w:vMerge w:val="restart"/>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其他收入</w:t>
            </w:r>
          </w:p>
        </w:tc>
      </w:tr>
      <w:tr>
        <w:tblPrEx>
          <w:tblCellMar>
            <w:top w:w="0" w:type="dxa"/>
            <w:left w:w="108" w:type="dxa"/>
            <w:bottom w:w="0" w:type="dxa"/>
            <w:right w:w="108" w:type="dxa"/>
          </w:tblCellMar>
        </w:tblPrEx>
        <w:trPr>
          <w:cantSplit/>
          <w:trHeight w:val="935" w:hRule="atLeast"/>
          <w:jc w:val="center"/>
        </w:trPr>
        <w:tc>
          <w:tcPr>
            <w:tcW w:w="1599"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功能分类</w:t>
            </w:r>
          </w:p>
          <w:p>
            <w:pPr>
              <w:pStyle w:val="22"/>
              <w:widowControl w:val="0"/>
              <w:jc w:val="center"/>
              <w:rPr>
                <w:rFonts w:hint="eastAsia" w:ascii="仿宋" w:hAnsi="仿宋" w:eastAsia="仿宋" w:cs="仿宋"/>
              </w:rPr>
            </w:pPr>
            <w:r>
              <w:rPr>
                <w:rFonts w:hint="eastAsia" w:ascii="仿宋" w:hAnsi="仿宋" w:eastAsia="仿宋" w:cs="仿宋"/>
              </w:rPr>
              <w:t>科目编码</w:t>
            </w:r>
          </w:p>
        </w:tc>
        <w:tc>
          <w:tcPr>
            <w:tcW w:w="2236"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1680"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1646"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1354"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1646"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小计</w:t>
            </w:r>
          </w:p>
        </w:tc>
        <w:tc>
          <w:tcPr>
            <w:tcW w:w="154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其中：教育收费</w:t>
            </w:r>
          </w:p>
        </w:tc>
        <w:tc>
          <w:tcPr>
            <w:tcW w:w="1457"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1509"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1451" w:type="dxa"/>
            <w:vMerge w:val="continue"/>
            <w:tcBorders>
              <w:left w:val="single" w:color="000000" w:sz="4" w:space="0"/>
              <w:bottom w:val="single" w:color="000000" w:sz="4" w:space="0"/>
              <w:right w:val="single" w:color="000000" w:sz="4" w:space="0"/>
            </w:tcBorders>
          </w:tcPr>
          <w:p>
            <w:pPr>
              <w:widowControl w:val="0"/>
              <w:jc w:val="left"/>
              <w:rPr>
                <w:rFonts w:hint="eastAsia" w:ascii="仿宋" w:hAnsi="仿宋" w:eastAsia="仿宋" w:cs="仿宋"/>
              </w:rPr>
            </w:pPr>
          </w:p>
        </w:tc>
      </w:tr>
      <w:tr>
        <w:tblPrEx>
          <w:tblCellMar>
            <w:top w:w="0" w:type="dxa"/>
            <w:left w:w="108" w:type="dxa"/>
            <w:bottom w:w="0" w:type="dxa"/>
            <w:right w:w="108" w:type="dxa"/>
          </w:tblCellMar>
        </w:tblPrEx>
        <w:trPr>
          <w:cantSplit/>
          <w:trHeight w:val="432" w:hRule="exact"/>
          <w:jc w:val="center"/>
        </w:trPr>
        <w:tc>
          <w:tcPr>
            <w:tcW w:w="3835"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ascii="仿宋" w:hAnsi="仿宋" w:cs="仿宋" w:eastAsia="仿宋"/>
                <w:sz w:val="22"/>
              </w:rPr>
              <w:t>合计</w:t>
            </w:r>
          </w:p>
        </w:tc>
        <w:tc>
          <w:tcPr>
            <w:tcW w:w="1680"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15,670.89</w:t>
            </w:r>
          </w:p>
        </w:tc>
        <w:tc>
          <w:tcPr>
            <w:tcW w:w="1646"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13,193.29</w:t>
            </w:r>
          </w:p>
        </w:tc>
        <w:tc>
          <w:tcPr>
            <w:tcW w:w="1354"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c>
          <w:tcPr>
            <w:tcW w:w="1646"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2,150.00</w:t>
            </w:r>
          </w:p>
        </w:tc>
        <w:tc>
          <w:tcPr>
            <w:tcW w:w="1543"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2,150.00</w:t>
            </w:r>
          </w:p>
        </w:tc>
        <w:tc>
          <w:tcPr>
            <w:tcW w:w="1457"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c>
          <w:tcPr>
            <w:tcW w:w="1509"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c>
          <w:tcPr>
            <w:tcW w:w="1451"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327.60</w:t>
            </w:r>
          </w:p>
        </w:tc>
      </w:tr>
      <w:tr>
        <w:tblPrEx>
          <w:tblCellMar>
            <w:top w:w="0" w:type="dxa"/>
            <w:left w:w="108" w:type="dxa"/>
            <w:bottom w:w="0" w:type="dxa"/>
            <w:right w:w="108" w:type="dxa"/>
          </w:tblCellMar>
        </w:tblPrEx>
        <w:trPr>
          <w:cantSplit/>
          <w:trHeight w:val="408" w:hRule="atLeast"/>
          <w:jc w:val="center"/>
        </w:trPr>
        <w:tc>
          <w:tcPr>
            <w:tcW w:w="1599"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205</w:t>
            </w:r>
          </w:p>
        </w:tc>
        <w:tc>
          <w:tcPr>
            <w:tcW w:w="223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教育支出</w:t>
            </w:r>
          </w:p>
        </w:tc>
        <w:tc>
          <w:tcPr>
            <w:tcW w:w="168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13,256.38</w:t>
            </w:r>
          </w:p>
        </w:tc>
        <w:tc>
          <w:tcPr>
            <w:tcW w:w="16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12,117.83</w:t>
            </w:r>
          </w:p>
        </w:tc>
        <w:tc>
          <w:tcPr>
            <w:tcW w:w="135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810.95</w:t>
            </w:r>
          </w:p>
        </w:tc>
        <w:tc>
          <w:tcPr>
            <w:tcW w:w="154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810.95</w:t>
            </w:r>
          </w:p>
        </w:tc>
        <w:tc>
          <w:tcPr>
            <w:tcW w:w="14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0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45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327.60</w:t>
            </w:r>
          </w:p>
        </w:tc>
      </w:tr>
      <w:tr>
        <w:tblPrEx>
          <w:tblCellMar>
            <w:top w:w="0" w:type="dxa"/>
            <w:left w:w="108" w:type="dxa"/>
            <w:bottom w:w="0" w:type="dxa"/>
            <w:right w:w="108" w:type="dxa"/>
          </w:tblCellMar>
        </w:tblPrEx>
        <w:trPr>
          <w:cantSplit/>
          <w:trHeight w:val="408" w:hRule="atLeast"/>
          <w:jc w:val="center"/>
        </w:trPr>
        <w:tc>
          <w:tcPr>
            <w:tcW w:w="1599"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20503</w:t>
            </w:r>
          </w:p>
        </w:tc>
        <w:tc>
          <w:tcPr>
            <w:tcW w:w="223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职业教育</w:t>
            </w:r>
          </w:p>
        </w:tc>
        <w:tc>
          <w:tcPr>
            <w:tcW w:w="168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13,256.38</w:t>
            </w:r>
          </w:p>
        </w:tc>
        <w:tc>
          <w:tcPr>
            <w:tcW w:w="16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12,117.83</w:t>
            </w:r>
          </w:p>
        </w:tc>
        <w:tc>
          <w:tcPr>
            <w:tcW w:w="135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810.95</w:t>
            </w:r>
          </w:p>
        </w:tc>
        <w:tc>
          <w:tcPr>
            <w:tcW w:w="154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810.95</w:t>
            </w:r>
          </w:p>
        </w:tc>
        <w:tc>
          <w:tcPr>
            <w:tcW w:w="14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0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45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327.60</w:t>
            </w:r>
          </w:p>
        </w:tc>
      </w:tr>
      <w:tr>
        <w:tblPrEx>
          <w:tblCellMar>
            <w:top w:w="0" w:type="dxa"/>
            <w:left w:w="108" w:type="dxa"/>
            <w:bottom w:w="0" w:type="dxa"/>
            <w:right w:w="108" w:type="dxa"/>
          </w:tblCellMar>
        </w:tblPrEx>
        <w:trPr>
          <w:cantSplit/>
          <w:trHeight w:val="408" w:hRule="atLeast"/>
          <w:jc w:val="center"/>
        </w:trPr>
        <w:tc>
          <w:tcPr>
            <w:tcW w:w="1599"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2050302</w:t>
            </w:r>
          </w:p>
        </w:tc>
        <w:tc>
          <w:tcPr>
            <w:tcW w:w="223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中等职业教育</w:t>
            </w:r>
          </w:p>
        </w:tc>
        <w:tc>
          <w:tcPr>
            <w:tcW w:w="168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13,250.98</w:t>
            </w:r>
          </w:p>
        </w:tc>
        <w:tc>
          <w:tcPr>
            <w:tcW w:w="16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12,112.43</w:t>
            </w:r>
          </w:p>
        </w:tc>
        <w:tc>
          <w:tcPr>
            <w:tcW w:w="135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810.95</w:t>
            </w:r>
          </w:p>
        </w:tc>
        <w:tc>
          <w:tcPr>
            <w:tcW w:w="154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810.95</w:t>
            </w:r>
          </w:p>
        </w:tc>
        <w:tc>
          <w:tcPr>
            <w:tcW w:w="14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0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45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327.60</w:t>
            </w:r>
          </w:p>
        </w:tc>
      </w:tr>
      <w:tr>
        <w:tblPrEx>
          <w:tblCellMar>
            <w:top w:w="0" w:type="dxa"/>
            <w:left w:w="108" w:type="dxa"/>
            <w:bottom w:w="0" w:type="dxa"/>
            <w:right w:w="108" w:type="dxa"/>
          </w:tblCellMar>
        </w:tblPrEx>
        <w:trPr>
          <w:cantSplit/>
          <w:trHeight w:val="408" w:hRule="atLeast"/>
          <w:jc w:val="center"/>
        </w:trPr>
        <w:tc>
          <w:tcPr>
            <w:tcW w:w="1599"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2050305</w:t>
            </w:r>
          </w:p>
        </w:tc>
        <w:tc>
          <w:tcPr>
            <w:tcW w:w="223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高等职业教育</w:t>
            </w:r>
          </w:p>
        </w:tc>
        <w:tc>
          <w:tcPr>
            <w:tcW w:w="168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5.40</w:t>
            </w:r>
          </w:p>
        </w:tc>
        <w:tc>
          <w:tcPr>
            <w:tcW w:w="16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5.40</w:t>
            </w:r>
          </w:p>
        </w:tc>
        <w:tc>
          <w:tcPr>
            <w:tcW w:w="135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4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4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0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45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599"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208</w:t>
            </w:r>
          </w:p>
        </w:tc>
        <w:tc>
          <w:tcPr>
            <w:tcW w:w="223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社会保障和就业支出</w:t>
            </w:r>
          </w:p>
        </w:tc>
        <w:tc>
          <w:tcPr>
            <w:tcW w:w="168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824.40</w:t>
            </w:r>
          </w:p>
        </w:tc>
        <w:tc>
          <w:tcPr>
            <w:tcW w:w="16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824.40</w:t>
            </w:r>
          </w:p>
        </w:tc>
        <w:tc>
          <w:tcPr>
            <w:tcW w:w="135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4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4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0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45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599"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20805</w:t>
            </w:r>
          </w:p>
        </w:tc>
        <w:tc>
          <w:tcPr>
            <w:tcW w:w="223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行政事业单位养老支出</w:t>
            </w:r>
          </w:p>
        </w:tc>
        <w:tc>
          <w:tcPr>
            <w:tcW w:w="168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824.40</w:t>
            </w:r>
          </w:p>
        </w:tc>
        <w:tc>
          <w:tcPr>
            <w:tcW w:w="16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824.40</w:t>
            </w:r>
          </w:p>
        </w:tc>
        <w:tc>
          <w:tcPr>
            <w:tcW w:w="135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4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4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0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45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599"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2080505</w:t>
            </w:r>
          </w:p>
        </w:tc>
        <w:tc>
          <w:tcPr>
            <w:tcW w:w="223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机关事业单位基本养老保险缴费支出</w:t>
            </w:r>
          </w:p>
        </w:tc>
        <w:tc>
          <w:tcPr>
            <w:tcW w:w="168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549.60</w:t>
            </w:r>
          </w:p>
        </w:tc>
        <w:tc>
          <w:tcPr>
            <w:tcW w:w="16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549.60</w:t>
            </w:r>
          </w:p>
        </w:tc>
        <w:tc>
          <w:tcPr>
            <w:tcW w:w="135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4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4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0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45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599"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2080506</w:t>
            </w:r>
          </w:p>
        </w:tc>
        <w:tc>
          <w:tcPr>
            <w:tcW w:w="223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机关事业单位职业年金缴费支出</w:t>
            </w:r>
          </w:p>
        </w:tc>
        <w:tc>
          <w:tcPr>
            <w:tcW w:w="168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274.80</w:t>
            </w:r>
          </w:p>
        </w:tc>
        <w:tc>
          <w:tcPr>
            <w:tcW w:w="16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274.80</w:t>
            </w:r>
          </w:p>
        </w:tc>
        <w:tc>
          <w:tcPr>
            <w:tcW w:w="135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4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4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0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45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599"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214</w:t>
            </w:r>
          </w:p>
        </w:tc>
        <w:tc>
          <w:tcPr>
            <w:tcW w:w="223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交通运输支出</w:t>
            </w:r>
          </w:p>
        </w:tc>
        <w:tc>
          <w:tcPr>
            <w:tcW w:w="168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20.00</w:t>
            </w:r>
          </w:p>
        </w:tc>
        <w:tc>
          <w:tcPr>
            <w:tcW w:w="16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20.00</w:t>
            </w:r>
          </w:p>
        </w:tc>
        <w:tc>
          <w:tcPr>
            <w:tcW w:w="135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4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4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0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45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599"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21499</w:t>
            </w:r>
          </w:p>
        </w:tc>
        <w:tc>
          <w:tcPr>
            <w:tcW w:w="223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其他交通运输支出</w:t>
            </w:r>
          </w:p>
        </w:tc>
        <w:tc>
          <w:tcPr>
            <w:tcW w:w="168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20.00</w:t>
            </w:r>
          </w:p>
        </w:tc>
        <w:tc>
          <w:tcPr>
            <w:tcW w:w="16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20.00</w:t>
            </w:r>
          </w:p>
        </w:tc>
        <w:tc>
          <w:tcPr>
            <w:tcW w:w="135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4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4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0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45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599"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2149999</w:t>
            </w:r>
          </w:p>
        </w:tc>
        <w:tc>
          <w:tcPr>
            <w:tcW w:w="223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其他交通运输支出</w:t>
            </w:r>
          </w:p>
        </w:tc>
        <w:tc>
          <w:tcPr>
            <w:tcW w:w="168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20.00</w:t>
            </w:r>
          </w:p>
        </w:tc>
        <w:tc>
          <w:tcPr>
            <w:tcW w:w="16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20.00</w:t>
            </w:r>
          </w:p>
        </w:tc>
        <w:tc>
          <w:tcPr>
            <w:tcW w:w="135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4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4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0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45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599"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221</w:t>
            </w:r>
          </w:p>
        </w:tc>
        <w:tc>
          <w:tcPr>
            <w:tcW w:w="223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住房保障支出</w:t>
            </w:r>
          </w:p>
        </w:tc>
        <w:tc>
          <w:tcPr>
            <w:tcW w:w="168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1,570.11</w:t>
            </w:r>
          </w:p>
        </w:tc>
        <w:tc>
          <w:tcPr>
            <w:tcW w:w="16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231.06</w:t>
            </w:r>
          </w:p>
        </w:tc>
        <w:tc>
          <w:tcPr>
            <w:tcW w:w="135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1,339.05</w:t>
            </w:r>
          </w:p>
        </w:tc>
        <w:tc>
          <w:tcPr>
            <w:tcW w:w="154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1,339.05</w:t>
            </w:r>
          </w:p>
        </w:tc>
        <w:tc>
          <w:tcPr>
            <w:tcW w:w="14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0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45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599"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22102</w:t>
            </w:r>
          </w:p>
        </w:tc>
        <w:tc>
          <w:tcPr>
            <w:tcW w:w="223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住房改革支出</w:t>
            </w:r>
          </w:p>
        </w:tc>
        <w:tc>
          <w:tcPr>
            <w:tcW w:w="168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1,570.11</w:t>
            </w:r>
          </w:p>
        </w:tc>
        <w:tc>
          <w:tcPr>
            <w:tcW w:w="16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231.06</w:t>
            </w:r>
          </w:p>
        </w:tc>
        <w:tc>
          <w:tcPr>
            <w:tcW w:w="135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1,339.05</w:t>
            </w:r>
          </w:p>
        </w:tc>
        <w:tc>
          <w:tcPr>
            <w:tcW w:w="154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1,339.05</w:t>
            </w:r>
          </w:p>
        </w:tc>
        <w:tc>
          <w:tcPr>
            <w:tcW w:w="14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0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45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599"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2210201</w:t>
            </w:r>
          </w:p>
        </w:tc>
        <w:tc>
          <w:tcPr>
            <w:tcW w:w="223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住房公积金</w:t>
            </w:r>
          </w:p>
        </w:tc>
        <w:tc>
          <w:tcPr>
            <w:tcW w:w="168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458.96</w:t>
            </w:r>
          </w:p>
        </w:tc>
        <w:tc>
          <w:tcPr>
            <w:tcW w:w="16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5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458.96</w:t>
            </w:r>
          </w:p>
        </w:tc>
        <w:tc>
          <w:tcPr>
            <w:tcW w:w="154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458.96</w:t>
            </w:r>
          </w:p>
        </w:tc>
        <w:tc>
          <w:tcPr>
            <w:tcW w:w="14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0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45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599"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2210202</w:t>
            </w:r>
          </w:p>
        </w:tc>
        <w:tc>
          <w:tcPr>
            <w:tcW w:w="223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提租补贴</w:t>
            </w:r>
          </w:p>
        </w:tc>
        <w:tc>
          <w:tcPr>
            <w:tcW w:w="168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1,111.15</w:t>
            </w:r>
          </w:p>
        </w:tc>
        <w:tc>
          <w:tcPr>
            <w:tcW w:w="16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231.06</w:t>
            </w:r>
          </w:p>
        </w:tc>
        <w:tc>
          <w:tcPr>
            <w:tcW w:w="135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880.09</w:t>
            </w:r>
          </w:p>
        </w:tc>
        <w:tc>
          <w:tcPr>
            <w:tcW w:w="154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880.09</w:t>
            </w:r>
          </w:p>
        </w:tc>
        <w:tc>
          <w:tcPr>
            <w:tcW w:w="14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0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45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widowControl w:val="0"/>
        <w:suppressAutoHyphens/>
        <w:bidi w:val="0"/>
        <w:spacing w:before="66" w:after="0"/>
        <w:ind w:left="-220" w:leftChars="0" w:right="0" w:firstLine="0" w:firstLineChars="0"/>
        <w:jc w:val="left"/>
        <w:rPr>
          <w:rFonts w:hint="eastAsia" w:ascii="仿宋" w:hAnsi="仿宋" w:eastAsia="仿宋" w:cs="仿宋"/>
          <w:b/>
          <w:bCs/>
          <w:sz w:val="22"/>
          <w:szCs w:val="22"/>
        </w:rPr>
      </w:pPr>
      <w:r>
        <w:rPr>
          <w:rFonts w:hint="eastAsia" w:ascii="仿宋" w:hAnsi="仿宋" w:eastAsia="仿宋" w:cs="仿宋"/>
          <w:b/>
          <w:bCs/>
          <w:color w:val="000000"/>
          <w:sz w:val="22"/>
          <w:szCs w:val="22"/>
        </w:rPr>
        <w:t>注：</w:t>
      </w:r>
      <w:r>
        <w:rPr>
          <w:rFonts w:hint="eastAsia" w:ascii="仿宋" w:hAnsi="仿宋" w:eastAsia="仿宋" w:cs="仿宋"/>
          <w:b/>
          <w:bCs/>
          <w:color w:val="000000"/>
          <w:sz w:val="22"/>
          <w:szCs w:val="22"/>
          <w:lang w:val="en-US" w:eastAsia="zh-CN"/>
        </w:rPr>
        <w:t>1.</w:t>
      </w:r>
      <w:r>
        <w:rPr>
          <w:rFonts w:hint="eastAsia" w:ascii="仿宋" w:hAnsi="仿宋" w:eastAsia="仿宋" w:cs="仿宋"/>
          <w:b/>
          <w:bCs/>
          <w:sz w:val="22"/>
          <w:szCs w:val="22"/>
        </w:rPr>
        <w:t>本表金额转换为万元时，因四舍五入可能存在尾差。</w:t>
      </w:r>
    </w:p>
    <w:p>
      <w:pPr>
        <w:widowControl w:val="0"/>
        <w:suppressAutoHyphens/>
        <w:bidi w:val="0"/>
        <w:spacing w:before="66" w:after="0"/>
        <w:ind w:left="57" w:right="0" w:firstLine="221" w:firstLineChars="100"/>
        <w:jc w:val="left"/>
        <w:rPr>
          <w:rFonts w:hint="eastAsia" w:ascii="仿宋" w:hAnsi="仿宋" w:eastAsia="仿宋" w:cs="仿宋"/>
          <w:b/>
          <w:bCs/>
          <w:sz w:val="22"/>
          <w:szCs w:val="22"/>
        </w:rPr>
        <w:sectPr>
          <w:footerReference r:id="rId7" w:type="default"/>
          <w:pgSz w:w="16838" w:h="11906" w:orient="landscape"/>
          <w:pgMar w:top="720" w:right="720" w:bottom="720" w:left="50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347" w:type="dxa"/>
        <w:tblInd w:w="96" w:type="dxa"/>
        <w:tblLayout w:type="fixed"/>
        <w:tblCellMar>
          <w:top w:w="55" w:type="dxa"/>
          <w:left w:w="55" w:type="dxa"/>
          <w:bottom w:w="55" w:type="dxa"/>
          <w:right w:w="55" w:type="dxa"/>
        </w:tblCellMar>
      </w:tblPr>
      <w:tblGrid>
        <w:gridCol w:w="1556"/>
        <w:gridCol w:w="3223"/>
        <w:gridCol w:w="1920"/>
        <w:gridCol w:w="1714"/>
        <w:gridCol w:w="1749"/>
        <w:gridCol w:w="1868"/>
        <w:gridCol w:w="1680"/>
        <w:gridCol w:w="1637"/>
      </w:tblGrid>
      <w:tr>
        <w:tblPrEx>
          <w:tblCellMar>
            <w:top w:w="55" w:type="dxa"/>
            <w:left w:w="55" w:type="dxa"/>
            <w:bottom w:w="55" w:type="dxa"/>
            <w:right w:w="55" w:type="dxa"/>
          </w:tblCellMar>
        </w:tblPrEx>
        <w:trPr>
          <w:trHeight w:val="341" w:hRule="atLeast"/>
        </w:trPr>
        <w:tc>
          <w:tcPr>
            <w:tcW w:w="15347" w:type="dxa"/>
            <w:gridSpan w:val="8"/>
            <w:vAlign w:val="center"/>
          </w:tcPr>
          <w:p>
            <w:pPr>
              <w:pStyle w:val="5"/>
              <w:widowControl w:val="0"/>
              <w:rPr>
                <w:rFonts w:hint="eastAsia" w:ascii="仿宋" w:hAnsi="仿宋" w:eastAsia="仿宋" w:cs="仿宋"/>
                <w:b/>
                <w:bCs/>
                <w:sz w:val="44"/>
                <w:szCs w:val="44"/>
              </w:rPr>
            </w:pPr>
            <w:r>
              <w:rPr>
                <w:rFonts w:hint="eastAsia" w:ascii="仿宋" w:hAnsi="仿宋" w:eastAsia="仿宋" w:cs="仿宋"/>
                <w:b/>
                <w:bCs/>
                <w:sz w:val="44"/>
                <w:szCs w:val="44"/>
              </w:rPr>
              <w:t>支出决算表</w:t>
            </w:r>
          </w:p>
        </w:tc>
      </w:tr>
      <w:tr>
        <w:trPr>
          <w:trHeight w:val="321" w:hRule="atLeast"/>
        </w:trPr>
        <w:tc>
          <w:tcPr>
            <w:tcW w:w="4779" w:type="dxa"/>
            <w:gridSpan w:val="2"/>
            <w:vAlign w:val="center"/>
          </w:tcPr>
          <w:p>
            <w:pPr>
              <w:pStyle w:val="22"/>
              <w:widowControl w:val="0"/>
              <w:jc w:val="center"/>
              <w:rPr>
                <w:rFonts w:hint="eastAsia" w:ascii="仿宋" w:hAnsi="仿宋" w:eastAsia="仿宋" w:cs="仿宋"/>
              </w:rPr>
            </w:pPr>
          </w:p>
        </w:tc>
        <w:tc>
          <w:tcPr>
            <w:tcW w:w="1920" w:type="dxa"/>
            <w:vAlign w:val="center"/>
          </w:tcPr>
          <w:p>
            <w:pPr>
              <w:pStyle w:val="22"/>
              <w:widowControl w:val="0"/>
              <w:spacing w:before="0" w:after="0"/>
              <w:ind w:firstLine="0"/>
              <w:jc w:val="center"/>
              <w:rPr>
                <w:rFonts w:hint="eastAsia" w:ascii="仿宋" w:hAnsi="仿宋" w:eastAsia="仿宋" w:cs="仿宋"/>
                <w:sz w:val="20"/>
              </w:rPr>
            </w:pPr>
          </w:p>
        </w:tc>
        <w:tc>
          <w:tcPr>
            <w:tcW w:w="1714" w:type="dxa"/>
            <w:vAlign w:val="center"/>
          </w:tcPr>
          <w:p>
            <w:pPr>
              <w:pStyle w:val="22"/>
              <w:widowControl w:val="0"/>
              <w:spacing w:before="0" w:after="0"/>
              <w:ind w:firstLine="0"/>
              <w:jc w:val="center"/>
              <w:rPr>
                <w:rFonts w:hint="eastAsia" w:ascii="仿宋" w:hAnsi="仿宋" w:eastAsia="仿宋" w:cs="仿宋"/>
                <w:sz w:val="20"/>
              </w:rPr>
            </w:pPr>
          </w:p>
        </w:tc>
        <w:tc>
          <w:tcPr>
            <w:tcW w:w="1749" w:type="dxa"/>
            <w:vAlign w:val="center"/>
          </w:tcPr>
          <w:p>
            <w:pPr>
              <w:pStyle w:val="22"/>
              <w:widowControl w:val="0"/>
              <w:spacing w:before="0" w:after="0"/>
              <w:ind w:firstLine="0"/>
              <w:jc w:val="center"/>
              <w:rPr>
                <w:rFonts w:hint="eastAsia" w:ascii="仿宋" w:hAnsi="仿宋" w:eastAsia="仿宋" w:cs="仿宋"/>
                <w:sz w:val="20"/>
              </w:rPr>
            </w:pPr>
          </w:p>
        </w:tc>
        <w:tc>
          <w:tcPr>
            <w:tcW w:w="1868" w:type="dxa"/>
            <w:vAlign w:val="center"/>
          </w:tcPr>
          <w:p>
            <w:pPr>
              <w:pStyle w:val="22"/>
              <w:widowControl w:val="0"/>
              <w:spacing w:before="0" w:after="0"/>
              <w:ind w:firstLine="0"/>
              <w:jc w:val="center"/>
              <w:rPr>
                <w:rFonts w:hint="eastAsia" w:ascii="仿宋" w:hAnsi="仿宋" w:eastAsia="仿宋" w:cs="仿宋"/>
                <w:sz w:val="20"/>
              </w:rPr>
            </w:pPr>
          </w:p>
        </w:tc>
        <w:tc>
          <w:tcPr>
            <w:tcW w:w="3317" w:type="dxa"/>
            <w:gridSpan w:val="2"/>
            <w:vAlign w:val="center"/>
          </w:tcPr>
          <w:p>
            <w:pPr>
              <w:pStyle w:val="22"/>
              <w:widowControl w:val="0"/>
              <w:spacing w:before="0" w:after="0"/>
              <w:ind w:firstLine="0"/>
              <w:jc w:val="right"/>
              <w:rPr>
                <w:rFonts w:hint="eastAsia" w:ascii="仿宋" w:hAnsi="仿宋" w:eastAsia="仿宋" w:cs="仿宋"/>
                <w:sz w:val="22"/>
                <w:szCs w:val="22"/>
              </w:rPr>
            </w:pPr>
            <w:r>
              <w:rPr>
                <w:rFonts w:hint="eastAsia" w:ascii="仿宋" w:hAnsi="仿宋" w:eastAsia="仿宋" w:cs="仿宋"/>
                <w:sz w:val="22"/>
                <w:szCs w:val="22"/>
              </w:rPr>
              <w:t>公开03表</w:t>
            </w:r>
          </w:p>
        </w:tc>
      </w:tr>
      <w:tr>
        <w:tblPrEx>
          <w:tblCellMar>
            <w:top w:w="55" w:type="dxa"/>
            <w:left w:w="55" w:type="dxa"/>
            <w:bottom w:w="55" w:type="dxa"/>
            <w:right w:w="55" w:type="dxa"/>
          </w:tblCellMar>
        </w:tblPrEx>
        <w:trPr>
          <w:trHeight w:val="321" w:hRule="atLeast"/>
        </w:trPr>
        <w:tc>
          <w:tcPr>
            <w:tcW w:w="12030" w:type="dxa"/>
            <w:gridSpan w:val="6"/>
            <w:vAlign w:val="center"/>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cs="仿宋" w:eastAsia="仿宋"/>
                <w:color w:val="000000"/>
                <w:sz w:val="22"/>
              </w:rPr>
              <w:t>名称：</w:t>
            </w:r>
            <w:r>
              <w:rPr>
                <w:rFonts w:hint="eastAsia" w:ascii="仿宋" w:hAnsi="仿宋" w:eastAsia="仿宋" w:cs="仿宋"/>
              </w:rPr>
              <w:t>江苏省无锡交通高等职业技术学校</w:t>
            </w:r>
          </w:p>
        </w:tc>
        <w:tc>
          <w:tcPr>
            <w:tcW w:w="3317" w:type="dxa"/>
            <w:gridSpan w:val="2"/>
            <w:vAlign w:val="center"/>
          </w:tcPr>
          <w:p>
            <w:pPr>
              <w:pStyle w:val="22"/>
              <w:widowControl w:val="0"/>
              <w:spacing w:before="0" w:after="0"/>
              <w:ind w:firstLine="0"/>
              <w:jc w:val="right"/>
              <w:rPr>
                <w:rFonts w:hint="eastAsia" w:ascii="仿宋" w:hAnsi="仿宋" w:eastAsia="仿宋" w:cs="仿宋"/>
                <w:sz w:val="22"/>
                <w:szCs w:val="22"/>
              </w:rPr>
            </w:pPr>
            <w:r>
              <w:rPr>
                <w:rFonts w:hint="eastAsia" w:ascii="仿宋" w:hAnsi="仿宋" w:eastAsia="仿宋" w:cs="仿宋"/>
                <w:sz w:val="22"/>
                <w:szCs w:val="22"/>
              </w:rPr>
              <w:t>金额单位：万元</w:t>
            </w:r>
          </w:p>
        </w:tc>
      </w:tr>
      <w:tr>
        <w:tblPrEx>
          <w:tblCellMar>
            <w:top w:w="55" w:type="dxa"/>
            <w:left w:w="55" w:type="dxa"/>
            <w:bottom w:w="55" w:type="dxa"/>
            <w:right w:w="55" w:type="dxa"/>
          </w:tblCellMar>
        </w:tblPrEx>
        <w:trPr>
          <w:trHeight w:val="321" w:hRule="atLeast"/>
        </w:trPr>
        <w:tc>
          <w:tcPr>
            <w:tcW w:w="4779"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kern w:val="0"/>
                <w:sz w:val="22"/>
                <w:szCs w:val="22"/>
              </w:rPr>
              <w:t>项目</w:t>
            </w:r>
          </w:p>
        </w:tc>
        <w:tc>
          <w:tcPr>
            <w:tcW w:w="1920" w:type="dxa"/>
            <w:vMerge w:val="restart"/>
            <w:tcBorders>
              <w:top w:val="single" w:color="000000" w:sz="4" w:space="0"/>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本年支出合计</w:t>
            </w:r>
          </w:p>
        </w:tc>
        <w:tc>
          <w:tcPr>
            <w:tcW w:w="1714" w:type="dxa"/>
            <w:vMerge w:val="restart"/>
            <w:tcBorders>
              <w:top w:val="single" w:color="000000" w:sz="4" w:space="0"/>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基本支出</w:t>
            </w:r>
          </w:p>
        </w:tc>
        <w:tc>
          <w:tcPr>
            <w:tcW w:w="1749" w:type="dxa"/>
            <w:vMerge w:val="restart"/>
            <w:tcBorders>
              <w:top w:val="single" w:color="000000" w:sz="4" w:space="0"/>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项目支出</w:t>
            </w:r>
          </w:p>
        </w:tc>
        <w:tc>
          <w:tcPr>
            <w:tcW w:w="1868" w:type="dxa"/>
            <w:vMerge w:val="restart"/>
            <w:tcBorders>
              <w:top w:val="single" w:color="000000" w:sz="4" w:space="0"/>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上缴上级支出</w:t>
            </w:r>
          </w:p>
        </w:tc>
        <w:tc>
          <w:tcPr>
            <w:tcW w:w="1680" w:type="dxa"/>
            <w:vMerge w:val="restart"/>
            <w:tcBorders>
              <w:top w:val="single" w:color="000000" w:sz="4" w:space="0"/>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经营支出</w:t>
            </w:r>
          </w:p>
        </w:tc>
        <w:tc>
          <w:tcPr>
            <w:tcW w:w="1637" w:type="dxa"/>
            <w:vMerge w:val="restart"/>
            <w:tcBorders>
              <w:top w:val="single" w:color="000000" w:sz="4" w:space="0"/>
              <w:left w:val="single" w:color="000000" w:sz="4" w:space="0"/>
              <w:bottom w:val="single" w:color="000000" w:sz="4" w:space="0"/>
              <w:right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对附属单位补助支出</w:t>
            </w:r>
          </w:p>
        </w:tc>
      </w:tr>
      <w:tr>
        <w:tblPrEx>
          <w:tblCellMar>
            <w:top w:w="55" w:type="dxa"/>
            <w:left w:w="55" w:type="dxa"/>
            <w:bottom w:w="55" w:type="dxa"/>
            <w:right w:w="55" w:type="dxa"/>
          </w:tblCellMar>
        </w:tblPrEx>
        <w:trPr>
          <w:trHeight w:val="640" w:hRule="atLeast"/>
        </w:trPr>
        <w:tc>
          <w:tcPr>
            <w:tcW w:w="1556" w:type="dxa"/>
            <w:tcBorders>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kern w:val="0"/>
                <w:sz w:val="22"/>
                <w:szCs w:val="22"/>
              </w:rPr>
            </w:pPr>
            <w:r>
              <w:rPr>
                <w:rFonts w:hint="eastAsia" w:ascii="仿宋" w:hAnsi="仿宋" w:eastAsia="仿宋" w:cs="仿宋"/>
                <w:kern w:val="0"/>
                <w:sz w:val="22"/>
                <w:szCs w:val="22"/>
              </w:rPr>
              <w:t>功能分类</w:t>
            </w:r>
          </w:p>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科目编码</w:t>
            </w:r>
          </w:p>
        </w:tc>
        <w:tc>
          <w:tcPr>
            <w:tcW w:w="3223" w:type="dxa"/>
            <w:tcBorders>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科目名称</w:t>
            </w:r>
          </w:p>
        </w:tc>
        <w:tc>
          <w:tcPr>
            <w:tcW w:w="1920" w:type="dxa"/>
            <w:vMerge w:val="continue"/>
            <w:tcBorders>
              <w:left w:val="single" w:color="000000" w:sz="4" w:space="0"/>
              <w:bottom w:val="single" w:color="000000" w:sz="4" w:space="0"/>
            </w:tcBorders>
          </w:tcPr>
          <w:p>
            <w:pPr>
              <w:widowControl w:val="0"/>
              <w:spacing w:before="0" w:after="0"/>
              <w:jc w:val="left"/>
              <w:rPr>
                <w:rFonts w:hint="eastAsia" w:ascii="仿宋" w:hAnsi="仿宋" w:eastAsia="仿宋" w:cs="仿宋"/>
                <w:sz w:val="22"/>
                <w:szCs w:val="22"/>
              </w:rPr>
            </w:pPr>
          </w:p>
        </w:tc>
        <w:tc>
          <w:tcPr>
            <w:tcW w:w="1714" w:type="dxa"/>
            <w:vMerge w:val="continue"/>
            <w:tcBorders>
              <w:left w:val="single" w:color="000000" w:sz="4" w:space="0"/>
              <w:bottom w:val="single" w:color="000000" w:sz="4" w:space="0"/>
            </w:tcBorders>
          </w:tcPr>
          <w:p>
            <w:pPr>
              <w:widowControl w:val="0"/>
              <w:spacing w:before="0" w:after="0"/>
              <w:jc w:val="left"/>
              <w:rPr>
                <w:rFonts w:hint="eastAsia" w:ascii="仿宋" w:hAnsi="仿宋" w:eastAsia="仿宋" w:cs="仿宋"/>
                <w:sz w:val="22"/>
                <w:szCs w:val="22"/>
              </w:rPr>
            </w:pPr>
          </w:p>
        </w:tc>
        <w:tc>
          <w:tcPr>
            <w:tcW w:w="1749" w:type="dxa"/>
            <w:vMerge w:val="continue"/>
            <w:tcBorders>
              <w:left w:val="single" w:color="000000" w:sz="4" w:space="0"/>
              <w:bottom w:val="single" w:color="000000" w:sz="4" w:space="0"/>
            </w:tcBorders>
          </w:tcPr>
          <w:p>
            <w:pPr>
              <w:widowControl w:val="0"/>
              <w:spacing w:before="0" w:after="0"/>
              <w:jc w:val="left"/>
              <w:rPr>
                <w:rFonts w:hint="eastAsia" w:ascii="仿宋" w:hAnsi="仿宋" w:eastAsia="仿宋" w:cs="仿宋"/>
                <w:sz w:val="22"/>
                <w:szCs w:val="22"/>
              </w:rPr>
            </w:pPr>
          </w:p>
        </w:tc>
        <w:tc>
          <w:tcPr>
            <w:tcW w:w="1868" w:type="dxa"/>
            <w:vMerge w:val="continue"/>
            <w:tcBorders>
              <w:left w:val="single" w:color="000000" w:sz="4" w:space="0"/>
              <w:bottom w:val="single" w:color="000000" w:sz="4" w:space="0"/>
            </w:tcBorders>
          </w:tcPr>
          <w:p>
            <w:pPr>
              <w:widowControl w:val="0"/>
              <w:spacing w:before="0" w:after="0"/>
              <w:jc w:val="left"/>
              <w:rPr>
                <w:rFonts w:hint="eastAsia" w:ascii="仿宋" w:hAnsi="仿宋" w:eastAsia="仿宋" w:cs="仿宋"/>
                <w:sz w:val="22"/>
                <w:szCs w:val="22"/>
              </w:rPr>
            </w:pPr>
          </w:p>
        </w:tc>
        <w:tc>
          <w:tcPr>
            <w:tcW w:w="1680" w:type="dxa"/>
            <w:vMerge w:val="continue"/>
            <w:tcBorders>
              <w:left w:val="single" w:color="000000" w:sz="4" w:space="0"/>
              <w:bottom w:val="single" w:color="000000" w:sz="4" w:space="0"/>
            </w:tcBorders>
          </w:tcPr>
          <w:p>
            <w:pPr>
              <w:widowControl w:val="0"/>
              <w:spacing w:before="0" w:after="0"/>
              <w:jc w:val="left"/>
              <w:rPr>
                <w:rFonts w:hint="eastAsia" w:ascii="仿宋" w:hAnsi="仿宋" w:eastAsia="仿宋" w:cs="仿宋"/>
                <w:sz w:val="22"/>
                <w:szCs w:val="22"/>
              </w:rPr>
            </w:pPr>
          </w:p>
        </w:tc>
        <w:tc>
          <w:tcPr>
            <w:tcW w:w="1637" w:type="dxa"/>
            <w:vMerge w:val="continue"/>
            <w:tcBorders>
              <w:left w:val="single" w:color="000000" w:sz="4" w:space="0"/>
              <w:bottom w:val="single" w:color="000000" w:sz="4" w:space="0"/>
              <w:right w:val="single" w:color="000000" w:sz="4" w:space="0"/>
            </w:tcBorders>
          </w:tcPr>
          <w:p>
            <w:pPr>
              <w:widowControl w:val="0"/>
              <w:spacing w:before="0" w:after="0"/>
              <w:jc w:val="left"/>
              <w:rPr>
                <w:rFonts w:hint="eastAsia" w:ascii="仿宋" w:hAnsi="仿宋" w:eastAsia="仿宋" w:cs="仿宋"/>
                <w:sz w:val="22"/>
                <w:szCs w:val="22"/>
              </w:rPr>
            </w:pPr>
          </w:p>
        </w:tc>
      </w:tr>
      <w:tr>
        <w:tblPrEx>
          <w:tblCellMar>
            <w:top w:w="55" w:type="dxa"/>
            <w:left w:w="55" w:type="dxa"/>
            <w:bottom w:w="55" w:type="dxa"/>
            <w:right w:w="55" w:type="dxa"/>
          </w:tblCellMar>
        </w:tblPrEx>
        <w:trPr>
          <w:trHeight w:val="403" w:hRule="exact"/>
        </w:trPr>
        <w:tc>
          <w:tcPr>
            <w:tcW w:w="4779"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ascii="仿宋" w:hAnsi="仿宋" w:cs="仿宋" w:eastAsia="仿宋"/>
                <w:sz w:val="22"/>
              </w:rPr>
              <w:t>合计</w:t>
            </w:r>
          </w:p>
        </w:tc>
        <w:tc>
          <w:tcPr>
            <w:tcW w:w="1920"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14,389.93</w:t>
            </w:r>
          </w:p>
        </w:tc>
        <w:tc>
          <w:tcPr>
            <w:tcW w:w="1714"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11,296.47</w:t>
            </w:r>
          </w:p>
        </w:tc>
        <w:tc>
          <w:tcPr>
            <w:tcW w:w="1749"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3,093.46</w:t>
            </w:r>
          </w:p>
        </w:tc>
        <w:tc>
          <w:tcPr>
            <w:tcW w:w="1868"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c>
          <w:tcPr>
            <w:tcW w:w="1680"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c>
          <w:tcPr>
            <w:tcW w:w="1637"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教育支出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11,983.41</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8,901.96</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3,081.46</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20503</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职业教育</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11,983.41</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8,901.96</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3,081.46</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2050302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中等职业教育</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11,978.01</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8,896.56</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3,081.46</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2050305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高等职业教育</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5.40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5.40</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208</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社会保障和就业支出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824.40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824.40</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20805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行政事业单位养老支出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824.40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824.40</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2080505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机关事业单位基本养老保险缴费支出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549.60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549.60</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2080506</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机关事业单位职业年金缴费支出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274.80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274.80</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214</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交通运输支出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12.00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12.00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21499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其他交通运输支出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12.00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12.00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2149999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其他交通运输支出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12.00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12.00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221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住房保障支出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1,570.11</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1,570.11</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22102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住房改革支出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1,570.11</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1,570.11</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2210201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住房公积金</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458.96</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458.96</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2210202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提租补贴</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1,111.15</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1,111.15</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bl>
    <w:p>
      <w:pPr>
        <w:widowControl w:val="0"/>
        <w:suppressAutoHyphens/>
        <w:bidi w:val="0"/>
        <w:spacing w:before="59" w:after="0"/>
        <w:ind w:left="57" w:right="0" w:firstLine="0"/>
        <w:jc w:val="left"/>
        <w:rPr>
          <w:rFonts w:hint="eastAsia" w:ascii="仿宋" w:hAnsi="仿宋" w:eastAsia="仿宋" w:cs="仿宋"/>
          <w:b/>
          <w:bCs/>
          <w:sz w:val="22"/>
          <w:szCs w:val="22"/>
        </w:rPr>
      </w:pPr>
      <w:r>
        <w:rPr>
          <w:rFonts w:hint="eastAsia" w:ascii="仿宋" w:hAnsi="仿宋" w:eastAsia="仿宋" w:cs="仿宋"/>
          <w:b/>
          <w:bCs/>
          <w:sz w:val="22"/>
          <w:szCs w:val="22"/>
        </w:rPr>
        <w:t>注：</w:t>
      </w:r>
      <w:r>
        <w:rPr>
          <w:rFonts w:hint="eastAsia" w:ascii="仿宋" w:hAnsi="仿宋" w:eastAsia="仿宋" w:cs="仿宋"/>
          <w:b/>
          <w:bCs/>
          <w:sz w:val="22"/>
          <w:szCs w:val="22"/>
          <w:lang w:val="en-US" w:eastAsia="zh-CN"/>
        </w:rPr>
        <w:t>1.</w:t>
      </w:r>
      <w:r>
        <w:rPr>
          <w:rFonts w:hint="eastAsia" w:ascii="仿宋" w:hAnsi="仿宋" w:eastAsia="仿宋" w:cs="仿宋"/>
          <w:b/>
          <w:bCs/>
          <w:sz w:val="22"/>
          <w:szCs w:val="22"/>
        </w:rPr>
        <w:t>本表金额转换为万元时，因四舍五入可能存在尾差。</w:t>
      </w:r>
    </w:p>
    <w:p>
      <w:pPr>
        <w:widowControl w:val="0"/>
        <w:suppressAutoHyphens/>
        <w:bidi w:val="0"/>
        <w:spacing w:before="59" w:after="0"/>
        <w:ind w:left="57" w:right="0" w:firstLine="0"/>
        <w:jc w:val="left"/>
        <w:rPr>
          <w:rFonts w:hint="eastAsia" w:ascii="仿宋" w:hAnsi="仿宋" w:eastAsia="仿宋" w:cs="仿宋"/>
          <w:b/>
          <w:bCs/>
          <w:sz w:val="22"/>
          <w:szCs w:val="22"/>
        </w:rPr>
        <w:sectPr>
          <w:footerReference r:id="rId8"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789" w:type="dxa"/>
        <w:tblInd w:w="-123" w:type="dxa"/>
        <w:tblLayout w:type="fixed"/>
        <w:tblCellMar>
          <w:top w:w="55" w:type="dxa"/>
          <w:left w:w="55" w:type="dxa"/>
          <w:bottom w:w="55" w:type="dxa"/>
          <w:right w:w="55" w:type="dxa"/>
        </w:tblCellMar>
      </w:tblPr>
      <w:tblGrid>
        <w:gridCol w:w="3669"/>
        <w:gridCol w:w="2091"/>
        <w:gridCol w:w="847"/>
        <w:gridCol w:w="1913"/>
        <w:gridCol w:w="754"/>
        <w:gridCol w:w="1800"/>
        <w:gridCol w:w="1275"/>
        <w:gridCol w:w="320"/>
        <w:gridCol w:w="1474"/>
        <w:gridCol w:w="1646"/>
      </w:tblGrid>
      <w:tr>
        <w:tblPrEx>
          <w:tblCellMar>
            <w:top w:w="55" w:type="dxa"/>
            <w:left w:w="55" w:type="dxa"/>
            <w:bottom w:w="55" w:type="dxa"/>
            <w:right w:w="55" w:type="dxa"/>
          </w:tblCellMar>
        </w:tblPrEx>
        <w:trPr>
          <w:trHeight w:val="319" w:hRule="atLeast"/>
        </w:trPr>
        <w:tc>
          <w:tcPr>
            <w:tcW w:w="15789" w:type="dxa"/>
            <w:gridSpan w:val="10"/>
          </w:tcPr>
          <w:p>
            <w:pPr>
              <w:pStyle w:val="22"/>
              <w:widowControl w:val="0"/>
              <w:jc w:val="center"/>
              <w:rPr>
                <w:rFonts w:hint="eastAsia" w:ascii="仿宋" w:hAnsi="仿宋" w:eastAsia="仿宋" w:cs="仿宋"/>
                <w:b/>
                <w:bCs/>
                <w:sz w:val="44"/>
                <w:szCs w:val="44"/>
              </w:rPr>
            </w:pPr>
            <w:r>
              <w:rPr>
                <w:rFonts w:hint="eastAsia" w:ascii="仿宋" w:hAnsi="仿宋" w:eastAsia="仿宋" w:cs="仿宋"/>
                <w:b/>
                <w:bCs/>
                <w:sz w:val="44"/>
                <w:szCs w:val="44"/>
              </w:rPr>
              <w:t>财政拨款收入支出决算总表</w:t>
            </w:r>
          </w:p>
        </w:tc>
      </w:tr>
      <w:tr>
        <w:tblPrEx>
          <w:tblCellMar>
            <w:top w:w="55" w:type="dxa"/>
            <w:left w:w="55" w:type="dxa"/>
            <w:bottom w:w="55" w:type="dxa"/>
            <w:right w:w="55" w:type="dxa"/>
          </w:tblCellMar>
        </w:tblPrEx>
        <w:trPr>
          <w:trHeight w:val="319" w:hRule="atLeast"/>
        </w:trPr>
        <w:tc>
          <w:tcPr>
            <w:tcW w:w="5760" w:type="dxa"/>
            <w:gridSpan w:val="2"/>
          </w:tcPr>
          <w:p>
            <w:pPr>
              <w:pStyle w:val="22"/>
              <w:widowControl w:val="0"/>
              <w:rPr>
                <w:rFonts w:hint="eastAsia" w:ascii="仿宋" w:hAnsi="仿宋" w:eastAsia="仿宋" w:cs="仿宋"/>
                <w:sz w:val="20"/>
              </w:rPr>
            </w:pPr>
          </w:p>
        </w:tc>
        <w:tc>
          <w:tcPr>
            <w:tcW w:w="847" w:type="dxa"/>
          </w:tcPr>
          <w:p>
            <w:pPr>
              <w:pStyle w:val="22"/>
              <w:widowControl w:val="0"/>
              <w:rPr>
                <w:rFonts w:hint="eastAsia" w:ascii="仿宋" w:hAnsi="仿宋" w:eastAsia="仿宋" w:cs="仿宋"/>
                <w:sz w:val="20"/>
              </w:rPr>
            </w:pPr>
          </w:p>
        </w:tc>
        <w:tc>
          <w:tcPr>
            <w:tcW w:w="1913" w:type="dxa"/>
          </w:tcPr>
          <w:p>
            <w:pPr>
              <w:pStyle w:val="22"/>
              <w:widowControl w:val="0"/>
              <w:rPr>
                <w:rFonts w:hint="eastAsia" w:ascii="仿宋" w:hAnsi="仿宋" w:eastAsia="仿宋" w:cs="仿宋"/>
                <w:sz w:val="20"/>
              </w:rPr>
            </w:pPr>
          </w:p>
        </w:tc>
        <w:tc>
          <w:tcPr>
            <w:tcW w:w="2554" w:type="dxa"/>
            <w:gridSpan w:val="2"/>
          </w:tcPr>
          <w:p>
            <w:pPr>
              <w:pStyle w:val="22"/>
              <w:widowControl w:val="0"/>
              <w:rPr>
                <w:rFonts w:hint="eastAsia" w:ascii="仿宋" w:hAnsi="仿宋" w:eastAsia="仿宋" w:cs="仿宋"/>
                <w:sz w:val="20"/>
              </w:rPr>
            </w:pPr>
          </w:p>
        </w:tc>
        <w:tc>
          <w:tcPr>
            <w:tcW w:w="1275" w:type="dxa"/>
          </w:tcPr>
          <w:p>
            <w:pPr>
              <w:pStyle w:val="22"/>
              <w:widowControl w:val="0"/>
              <w:rPr>
                <w:rFonts w:hint="eastAsia" w:ascii="仿宋" w:hAnsi="仿宋" w:eastAsia="仿宋" w:cs="仿宋"/>
                <w:sz w:val="20"/>
              </w:rPr>
            </w:pPr>
          </w:p>
        </w:tc>
        <w:tc>
          <w:tcPr>
            <w:tcW w:w="3440" w:type="dxa"/>
            <w:gridSpan w:val="3"/>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公开04表</w:t>
            </w:r>
          </w:p>
        </w:tc>
      </w:tr>
      <w:tr>
        <w:tblPrEx>
          <w:tblCellMar>
            <w:top w:w="55" w:type="dxa"/>
            <w:left w:w="55" w:type="dxa"/>
            <w:bottom w:w="55" w:type="dxa"/>
            <w:right w:w="55" w:type="dxa"/>
          </w:tblCellMar>
        </w:tblPrEx>
        <w:trPr>
          <w:trHeight w:val="319" w:hRule="atLeast"/>
        </w:trPr>
        <w:tc>
          <w:tcPr>
            <w:tcW w:w="12349" w:type="dxa"/>
            <w:gridSpan w:val="7"/>
          </w:tcPr>
          <w:p>
            <w:pPr>
              <w:pStyle w:val="22"/>
              <w:widowControl w:val="0"/>
              <w:jc w:val="left"/>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名称：</w:t>
            </w:r>
            <w:r>
              <w:rPr>
                <w:rFonts w:hint="eastAsia" w:ascii="仿宋" w:hAnsi="仿宋" w:eastAsia="仿宋" w:cs="仿宋"/>
                <w:sz w:val="22"/>
                <w:szCs w:val="22"/>
              </w:rPr>
              <w:t>江苏省无锡交通高等职业技术学校</w:t>
            </w:r>
          </w:p>
        </w:tc>
        <w:tc>
          <w:tcPr>
            <w:tcW w:w="3440" w:type="dxa"/>
            <w:gridSpan w:val="3"/>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金额单位：万元</w:t>
            </w:r>
          </w:p>
        </w:tc>
      </w:tr>
      <w:tr>
        <w:tblPrEx>
          <w:tblCellMar>
            <w:top w:w="55" w:type="dxa"/>
            <w:left w:w="55" w:type="dxa"/>
            <w:bottom w:w="55" w:type="dxa"/>
            <w:right w:w="55" w:type="dxa"/>
          </w:tblCellMar>
        </w:tblPrEx>
        <w:trPr>
          <w:trHeight w:val="319" w:hRule="atLeast"/>
        </w:trPr>
        <w:tc>
          <w:tcPr>
            <w:tcW w:w="5760" w:type="dxa"/>
            <w:gridSpan w:val="2"/>
            <w:tcBorders>
              <w:top w:val="single" w:color="000000" w:sz="4" w:space="0"/>
              <w:left w:val="single" w:color="000000" w:sz="4" w:space="0"/>
              <w:bottom w:val="single" w:color="000000" w:sz="4" w:space="0"/>
            </w:tcBorders>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收</w:t>
            </w:r>
            <w:r>
              <w:rPr>
                <w:rFonts w:hint="eastAsia" w:ascii="仿宋" w:hAnsi="仿宋" w:eastAsia="仿宋" w:cs="仿宋"/>
                <w:sz w:val="22"/>
                <w:szCs w:val="22"/>
              </w:rPr>
              <w:tab/>
            </w:r>
            <w:r>
              <w:rPr>
                <w:rFonts w:hint="eastAsia" w:ascii="仿宋" w:hAnsi="仿宋" w:eastAsia="仿宋" w:cs="仿宋"/>
                <w:sz w:val="22"/>
                <w:szCs w:val="22"/>
              </w:rPr>
              <w:t>入</w:t>
            </w:r>
          </w:p>
        </w:tc>
        <w:tc>
          <w:tcPr>
            <w:tcW w:w="10029" w:type="dxa"/>
            <w:gridSpan w:val="8"/>
            <w:tcBorders>
              <w:top w:val="single" w:color="000000" w:sz="4" w:space="0"/>
              <w:left w:val="single" w:color="000000" w:sz="4" w:space="0"/>
              <w:bottom w:val="single" w:color="000000" w:sz="4" w:space="0"/>
              <w:right w:val="single" w:color="000000" w:sz="4" w:space="0"/>
            </w:tcBorders>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支</w:t>
            </w:r>
            <w:r>
              <w:rPr>
                <w:rFonts w:hint="eastAsia" w:ascii="仿宋" w:hAnsi="仿宋" w:eastAsia="仿宋" w:cs="仿宋"/>
                <w:sz w:val="22"/>
                <w:szCs w:val="22"/>
              </w:rPr>
              <w:tab/>
            </w:r>
            <w:r>
              <w:rPr>
                <w:rFonts w:hint="eastAsia" w:ascii="仿宋" w:hAnsi="仿宋" w:eastAsia="仿宋" w:cs="仿宋"/>
                <w:sz w:val="22"/>
                <w:szCs w:val="22"/>
              </w:rPr>
              <w:t>出</w:t>
            </w:r>
          </w:p>
        </w:tc>
      </w:tr>
      <w:tr>
        <w:tblPrEx>
          <w:tblCellMar>
            <w:top w:w="55" w:type="dxa"/>
            <w:left w:w="55" w:type="dxa"/>
            <w:bottom w:w="55" w:type="dxa"/>
            <w:right w:w="55" w:type="dxa"/>
          </w:tblCellMar>
        </w:tblPrEx>
        <w:trPr>
          <w:trHeight w:val="159" w:hRule="atLeast"/>
        </w:trPr>
        <w:tc>
          <w:tcPr>
            <w:tcW w:w="3669" w:type="dxa"/>
            <w:vMerge w:val="restart"/>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w:t>
            </w:r>
            <w:r>
              <w:rPr>
                <w:rFonts w:hint="eastAsia" w:ascii="仿宋" w:hAnsi="仿宋" w:eastAsia="仿宋" w:cs="仿宋"/>
                <w:sz w:val="22"/>
                <w:szCs w:val="22"/>
              </w:rPr>
              <w:tab/>
            </w:r>
            <w:r>
              <w:rPr>
                <w:rFonts w:hint="eastAsia" w:ascii="仿宋" w:hAnsi="仿宋" w:eastAsia="仿宋" w:cs="仿宋"/>
                <w:sz w:val="22"/>
                <w:szCs w:val="22"/>
              </w:rPr>
              <w:t>目</w:t>
            </w:r>
          </w:p>
        </w:tc>
        <w:tc>
          <w:tcPr>
            <w:tcW w:w="2091" w:type="dxa"/>
            <w:vMerge w:val="restart"/>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决算数</w:t>
            </w:r>
          </w:p>
        </w:tc>
        <w:tc>
          <w:tcPr>
            <w:tcW w:w="3514" w:type="dxa"/>
            <w:gridSpan w:val="3"/>
            <w:vMerge w:val="restart"/>
            <w:tcBorders>
              <w:left w:val="single" w:color="000000" w:sz="4" w:space="0"/>
              <w:bottom w:val="single" w:color="000000" w:sz="4" w:space="0"/>
            </w:tcBorders>
            <w:vAlign w:val="center"/>
          </w:tcPr>
          <w:p>
            <w:pPr>
              <w:widowControl w:val="0"/>
              <w:jc w:val="center"/>
              <w:rPr>
                <w:rFonts w:hint="eastAsia" w:ascii="仿宋" w:hAnsi="仿宋" w:eastAsia="仿宋" w:cs="仿宋"/>
                <w:sz w:val="22"/>
                <w:szCs w:val="22"/>
              </w:rPr>
            </w:pPr>
            <w:r>
              <w:rPr>
                <w:rFonts w:hint="eastAsia" w:ascii="仿宋" w:hAnsi="仿宋" w:eastAsia="仿宋" w:cs="仿宋"/>
                <w:sz w:val="22"/>
                <w:szCs w:val="22"/>
              </w:rPr>
              <w:t>按功能分类</w:t>
            </w:r>
          </w:p>
        </w:tc>
        <w:tc>
          <w:tcPr>
            <w:tcW w:w="6515" w:type="dxa"/>
            <w:gridSpan w:val="5"/>
            <w:tcBorders>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sz w:val="22"/>
                <w:szCs w:val="22"/>
              </w:rPr>
            </w:pPr>
            <w:r>
              <w:rPr>
                <w:rFonts w:hint="eastAsia" w:ascii="仿宋" w:hAnsi="仿宋" w:eastAsia="仿宋" w:cs="仿宋"/>
                <w:sz w:val="22"/>
                <w:szCs w:val="22"/>
              </w:rPr>
              <w:t>决算数</w:t>
            </w:r>
          </w:p>
        </w:tc>
      </w:tr>
      <w:tr>
        <w:tblPrEx>
          <w:tblCellMar>
            <w:top w:w="55" w:type="dxa"/>
            <w:left w:w="55" w:type="dxa"/>
            <w:bottom w:w="55" w:type="dxa"/>
            <w:right w:w="55" w:type="dxa"/>
          </w:tblCellMar>
        </w:tblPrEx>
        <w:trPr>
          <w:trHeight w:val="635" w:hRule="atLeast"/>
        </w:trPr>
        <w:tc>
          <w:tcPr>
            <w:tcW w:w="3669" w:type="dxa"/>
            <w:vMerge w:val="continue"/>
            <w:tcBorders>
              <w:left w:val="single" w:color="000000" w:sz="4" w:space="0"/>
              <w:bottom w:val="single" w:color="000000" w:sz="4" w:space="0"/>
            </w:tcBorders>
          </w:tcPr>
          <w:p>
            <w:pPr>
              <w:pStyle w:val="22"/>
              <w:widowControl w:val="0"/>
              <w:rPr>
                <w:rFonts w:hint="eastAsia" w:ascii="仿宋" w:hAnsi="仿宋" w:eastAsia="仿宋" w:cs="仿宋"/>
                <w:sz w:val="22"/>
                <w:szCs w:val="22"/>
              </w:rPr>
            </w:pPr>
          </w:p>
        </w:tc>
        <w:tc>
          <w:tcPr>
            <w:tcW w:w="2091" w:type="dxa"/>
            <w:vMerge w:val="continue"/>
            <w:tcBorders>
              <w:left w:val="single" w:color="000000" w:sz="4" w:space="0"/>
              <w:bottom w:val="single" w:color="000000" w:sz="4" w:space="0"/>
            </w:tcBorders>
          </w:tcPr>
          <w:p>
            <w:pPr>
              <w:pStyle w:val="22"/>
              <w:widowControl w:val="0"/>
              <w:rPr>
                <w:rFonts w:hint="eastAsia" w:ascii="仿宋" w:hAnsi="仿宋" w:eastAsia="仿宋" w:cs="仿宋"/>
                <w:sz w:val="22"/>
                <w:szCs w:val="22"/>
              </w:rPr>
            </w:pPr>
          </w:p>
        </w:tc>
        <w:tc>
          <w:tcPr>
            <w:tcW w:w="3514" w:type="dxa"/>
            <w:gridSpan w:val="3"/>
            <w:vMerge w:val="continue"/>
            <w:tcBorders>
              <w:left w:val="single" w:color="000000" w:sz="4" w:space="0"/>
              <w:bottom w:val="single" w:color="000000" w:sz="4" w:space="0"/>
            </w:tcBorders>
          </w:tcPr>
          <w:p>
            <w:pPr>
              <w:pStyle w:val="22"/>
              <w:widowControl w:val="0"/>
              <w:rPr>
                <w:rFonts w:hint="eastAsia" w:ascii="仿宋" w:hAnsi="仿宋" w:eastAsia="仿宋" w:cs="仿宋"/>
                <w:sz w:val="22"/>
                <w:szCs w:val="22"/>
              </w:rPr>
            </w:pPr>
          </w:p>
        </w:tc>
        <w:tc>
          <w:tcPr>
            <w:tcW w:w="180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ascii="仿宋" w:hAnsi="仿宋" w:cs="仿宋" w:eastAsia="仿宋"/>
                <w:sz w:val="22"/>
              </w:rPr>
              <w:t>小计</w:t>
            </w:r>
          </w:p>
        </w:tc>
        <w:tc>
          <w:tcPr>
            <w:tcW w:w="1595"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一般公共预算财政拨款</w:t>
            </w:r>
          </w:p>
        </w:tc>
        <w:tc>
          <w:tcPr>
            <w:tcW w:w="1474"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政府性基金预算财政拨款</w:t>
            </w:r>
          </w:p>
        </w:tc>
        <w:tc>
          <w:tcPr>
            <w:tcW w:w="1646"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国有资本经营预算财政拨款</w:t>
            </w:r>
          </w:p>
        </w:tc>
      </w:tr>
      <w:tr>
        <w:tblPrEx>
          <w:tblCellMar>
            <w:top w:w="55" w:type="dxa"/>
            <w:left w:w="55" w:type="dxa"/>
            <w:bottom w:w="55" w:type="dxa"/>
            <w:right w:w="55" w:type="dxa"/>
          </w:tblCellMar>
        </w:tblPrEx>
        <w:trPr>
          <w:trHeight w:val="321" w:hRule="atLeast"/>
        </w:trPr>
        <w:tc>
          <w:tcPr>
            <w:tcW w:w="3669"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一、一般公共预算财政拨款收入</w:t>
            </w:r>
          </w:p>
        </w:tc>
        <w:tc>
          <w:tcPr>
            <w:tcW w:w="209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13,193.29</w:t>
            </w:r>
          </w:p>
        </w:tc>
        <w:tc>
          <w:tcPr>
            <w:tcW w:w="3514"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一、一般公共服务支出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9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321" w:hRule="atLeast"/>
        </w:trPr>
        <w:tc>
          <w:tcPr>
            <w:tcW w:w="3669"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二、政府性基金预算财政拨款收入</w:t>
            </w:r>
          </w:p>
        </w:tc>
        <w:tc>
          <w:tcPr>
            <w:tcW w:w="209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514"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二、外交支出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9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321" w:hRule="atLeast"/>
        </w:trPr>
        <w:tc>
          <w:tcPr>
            <w:tcW w:w="3669"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三、国有资本经营预算财政拨款收入</w:t>
            </w:r>
          </w:p>
        </w:tc>
        <w:tc>
          <w:tcPr>
            <w:tcW w:w="209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514"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三、国防支出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9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321" w:hRule="atLeast"/>
        </w:trPr>
        <w:tc>
          <w:tcPr>
            <w:tcW w:w="3669"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209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514"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四、公共安全支出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9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321" w:hRule="atLeast"/>
        </w:trPr>
        <w:tc>
          <w:tcPr>
            <w:tcW w:w="3669"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209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514"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五、教育支出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10,738.29</w:t>
            </w:r>
          </w:p>
        </w:tc>
        <w:tc>
          <w:tcPr>
            <w:tcW w:w="159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10,738.29</w:t>
            </w:r>
          </w:p>
        </w:tc>
        <w:tc>
          <w:tcPr>
            <w:tcW w:w="14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321" w:hRule="atLeast"/>
        </w:trPr>
        <w:tc>
          <w:tcPr>
            <w:tcW w:w="3669"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209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514"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六、科学技术支出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9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321" w:hRule="atLeast"/>
        </w:trPr>
        <w:tc>
          <w:tcPr>
            <w:tcW w:w="3669"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209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514"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七、文化旅游体育与传媒支出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9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321" w:hRule="atLeast"/>
        </w:trPr>
        <w:tc>
          <w:tcPr>
            <w:tcW w:w="3669"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209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514"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八、社会保障和就业支出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824.40</w:t>
            </w:r>
          </w:p>
        </w:tc>
        <w:tc>
          <w:tcPr>
            <w:tcW w:w="159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824.40</w:t>
            </w:r>
          </w:p>
        </w:tc>
        <w:tc>
          <w:tcPr>
            <w:tcW w:w="14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321" w:hRule="atLeast"/>
        </w:trPr>
        <w:tc>
          <w:tcPr>
            <w:tcW w:w="3669"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209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514"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九、卫生健康支出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9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321" w:hRule="atLeast"/>
        </w:trPr>
        <w:tc>
          <w:tcPr>
            <w:tcW w:w="3669"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209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514"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十、节能环保支出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9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321" w:hRule="atLeast"/>
        </w:trPr>
        <w:tc>
          <w:tcPr>
            <w:tcW w:w="3669"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209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514"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十一、城乡社区支出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9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321" w:hRule="atLeast"/>
        </w:trPr>
        <w:tc>
          <w:tcPr>
            <w:tcW w:w="3669"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209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514"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十二、农林水支出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9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321" w:hRule="atLeast"/>
        </w:trPr>
        <w:tc>
          <w:tcPr>
            <w:tcW w:w="3669"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209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514"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十三、交通运输支出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12.00</w:t>
            </w:r>
          </w:p>
        </w:tc>
        <w:tc>
          <w:tcPr>
            <w:tcW w:w="159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12.00</w:t>
            </w:r>
          </w:p>
        </w:tc>
        <w:tc>
          <w:tcPr>
            <w:tcW w:w="14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321" w:hRule="atLeast"/>
        </w:trPr>
        <w:tc>
          <w:tcPr>
            <w:tcW w:w="3669"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209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514"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十四、资源勘探工业信息等支出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9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321" w:hRule="atLeast"/>
        </w:trPr>
        <w:tc>
          <w:tcPr>
            <w:tcW w:w="3669"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209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514"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十五、商业服务业等支出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9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321" w:hRule="atLeast"/>
        </w:trPr>
        <w:tc>
          <w:tcPr>
            <w:tcW w:w="3669"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209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514"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十六、金融支出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9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321" w:hRule="atLeast"/>
        </w:trPr>
        <w:tc>
          <w:tcPr>
            <w:tcW w:w="3669"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209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514"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十七、援助其他地区支出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9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321" w:hRule="atLeast"/>
        </w:trPr>
        <w:tc>
          <w:tcPr>
            <w:tcW w:w="3669"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209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514"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十八、自然资源海洋气象等支出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9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321" w:hRule="atLeast"/>
        </w:trPr>
        <w:tc>
          <w:tcPr>
            <w:tcW w:w="3669"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209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514"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十九、住房保障支出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231.06</w:t>
            </w:r>
          </w:p>
        </w:tc>
        <w:tc>
          <w:tcPr>
            <w:tcW w:w="159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231.06</w:t>
            </w:r>
          </w:p>
        </w:tc>
        <w:tc>
          <w:tcPr>
            <w:tcW w:w="14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321" w:hRule="atLeast"/>
        </w:trPr>
        <w:tc>
          <w:tcPr>
            <w:tcW w:w="3669"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209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514"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二十、粮油物资储备支出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9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321" w:hRule="atLeast"/>
        </w:trPr>
        <w:tc>
          <w:tcPr>
            <w:tcW w:w="3669"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209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514"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二十一、国有资本经营预算支出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9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321" w:hRule="atLeast"/>
        </w:trPr>
        <w:tc>
          <w:tcPr>
            <w:tcW w:w="3669"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209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514"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二十二、灾害防治及应急管理支出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9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321" w:hRule="atLeast"/>
        </w:trPr>
        <w:tc>
          <w:tcPr>
            <w:tcW w:w="3669"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209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514"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二十三、其他支出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9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321" w:hRule="atLeast"/>
        </w:trPr>
        <w:tc>
          <w:tcPr>
            <w:tcW w:w="3669"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209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514"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二十四、债务还本支出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9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321" w:hRule="atLeast"/>
        </w:trPr>
        <w:tc>
          <w:tcPr>
            <w:tcW w:w="3669"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209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514"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二十五、债务付息支出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9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321" w:hRule="atLeast"/>
        </w:trPr>
        <w:tc>
          <w:tcPr>
            <w:tcW w:w="3669"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209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514"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二十六、抗疫特别国债安排的支出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9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567" w:hRule="exact"/>
        </w:trPr>
        <w:tc>
          <w:tcPr>
            <w:tcW w:w="3669" w:type="dxa"/>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ascii="仿宋" w:hAnsi="仿宋" w:cs="仿宋" w:eastAsia="仿宋"/>
                <w:sz w:val="22"/>
              </w:rPr>
              <w:t>本年收入合计</w:t>
            </w:r>
          </w:p>
        </w:tc>
        <w:tc>
          <w:tcPr>
            <w:tcW w:w="2091" w:type="dxa"/>
            <w:tcBorders>
              <w:top w:val="single" w:color="000000" w:sz="4" w:space="0"/>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13,193.29</w:t>
            </w:r>
          </w:p>
        </w:tc>
        <w:tc>
          <w:tcPr>
            <w:tcW w:w="3514" w:type="dxa"/>
            <w:gridSpan w:val="3"/>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本年支出合计</w:t>
            </w:r>
          </w:p>
        </w:tc>
        <w:tc>
          <w:tcPr>
            <w:tcW w:w="1800" w:type="dxa"/>
            <w:tcBorders>
              <w:top w:val="single" w:color="000000" w:sz="4" w:space="0"/>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11,805.75</w:t>
            </w:r>
          </w:p>
        </w:tc>
        <w:tc>
          <w:tcPr>
            <w:tcW w:w="1595" w:type="dxa"/>
            <w:gridSpan w:val="2"/>
            <w:tcBorders>
              <w:top w:val="single" w:color="000000" w:sz="4" w:space="0"/>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11,805.75</w:t>
            </w:r>
          </w:p>
        </w:tc>
        <w:tc>
          <w:tcPr>
            <w:tcW w:w="1474" w:type="dxa"/>
            <w:tcBorders>
              <w:top w:val="single" w:color="000000" w:sz="4" w:space="0"/>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46"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318" w:hRule="atLeast"/>
        </w:trPr>
        <w:tc>
          <w:tcPr>
            <w:tcW w:w="3669" w:type="dxa"/>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年初财政拨款结转和结余</w:t>
            </w:r>
          </w:p>
        </w:tc>
        <w:tc>
          <w:tcPr>
            <w:tcW w:w="2091"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276.81</w:t>
            </w:r>
          </w:p>
        </w:tc>
        <w:tc>
          <w:tcPr>
            <w:tcW w:w="3514" w:type="dxa"/>
            <w:gridSpan w:val="3"/>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年末财政拨款结转和结余</w:t>
            </w:r>
          </w:p>
        </w:tc>
        <w:tc>
          <w:tcPr>
            <w:tcW w:w="180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1,664.35</w:t>
            </w:r>
          </w:p>
        </w:tc>
        <w:tc>
          <w:tcPr>
            <w:tcW w:w="1595" w:type="dxa"/>
            <w:gridSpan w:val="2"/>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1,664.35</w:t>
            </w:r>
          </w:p>
        </w:tc>
        <w:tc>
          <w:tcPr>
            <w:tcW w:w="147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46"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318" w:hRule="atLeast"/>
        </w:trPr>
        <w:tc>
          <w:tcPr>
            <w:tcW w:w="3669" w:type="dxa"/>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一、一般公共预算财政拨款</w:t>
            </w:r>
          </w:p>
        </w:tc>
        <w:tc>
          <w:tcPr>
            <w:tcW w:w="2091"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276.81</w:t>
            </w:r>
          </w:p>
        </w:tc>
        <w:tc>
          <w:tcPr>
            <w:tcW w:w="3514" w:type="dxa"/>
            <w:gridSpan w:val="3"/>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0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95" w:type="dxa"/>
            <w:gridSpan w:val="2"/>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7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46"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318" w:hRule="atLeast"/>
        </w:trPr>
        <w:tc>
          <w:tcPr>
            <w:tcW w:w="3669" w:type="dxa"/>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二、政府性基金预算财政拨款</w:t>
            </w:r>
          </w:p>
        </w:tc>
        <w:tc>
          <w:tcPr>
            <w:tcW w:w="2091"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514" w:type="dxa"/>
            <w:gridSpan w:val="3"/>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0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95" w:type="dxa"/>
            <w:gridSpan w:val="2"/>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7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46"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318" w:hRule="atLeast"/>
        </w:trPr>
        <w:tc>
          <w:tcPr>
            <w:tcW w:w="3669" w:type="dxa"/>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三、国有资本经营预算财政拨款</w:t>
            </w:r>
          </w:p>
        </w:tc>
        <w:tc>
          <w:tcPr>
            <w:tcW w:w="2091"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514" w:type="dxa"/>
            <w:gridSpan w:val="3"/>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0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95" w:type="dxa"/>
            <w:gridSpan w:val="2"/>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7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46"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567" w:hRule="exact"/>
        </w:trPr>
        <w:tc>
          <w:tcPr>
            <w:tcW w:w="3669"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总计</w:t>
            </w:r>
          </w:p>
        </w:tc>
        <w:tc>
          <w:tcPr>
            <w:tcW w:w="2091"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13,470.10</w:t>
            </w:r>
          </w:p>
        </w:tc>
        <w:tc>
          <w:tcPr>
            <w:tcW w:w="3514" w:type="dxa"/>
            <w:gridSpan w:val="3"/>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总计</w:t>
            </w:r>
          </w:p>
        </w:tc>
        <w:tc>
          <w:tcPr>
            <w:tcW w:w="1800"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13,470.10</w:t>
            </w:r>
          </w:p>
        </w:tc>
        <w:tc>
          <w:tcPr>
            <w:tcW w:w="1595" w:type="dxa"/>
            <w:gridSpan w:val="2"/>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13,470.10</w:t>
            </w:r>
          </w:p>
        </w:tc>
        <w:tc>
          <w:tcPr>
            <w:tcW w:w="1474"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46"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rPr>
          <w:rFonts w:hint="eastAsia" w:ascii="仿宋" w:hAnsi="仿宋" w:eastAsia="仿宋" w:cs="仿宋"/>
          <w:b/>
          <w:bCs/>
        </w:rPr>
      </w:pPr>
      <w:r>
        <w:rPr>
          <w:rFonts w:hint="eastAsia" w:ascii="仿宋" w:hAnsi="仿宋" w:eastAsia="仿宋" w:cs="仿宋"/>
          <w:b/>
          <w:bCs/>
          <w:lang w:val="en-US" w:eastAsia="zh-CN"/>
        </w:rPr>
        <w:t>注：1.</w:t>
      </w:r>
      <w:r>
        <w:rPr>
          <w:rFonts w:hint="eastAsia" w:ascii="仿宋" w:hAnsi="仿宋" w:eastAsia="仿宋" w:cs="仿宋"/>
          <w:b/>
          <w:bCs/>
        </w:rPr>
        <w:t>本表金额转换为万元时，因四舍五入可能存在尾差。</w:t>
      </w:r>
    </w:p>
    <w:p>
      <w:pPr>
        <w:rPr>
          <w:rFonts w:hint="eastAsia" w:ascii="仿宋" w:hAnsi="仿宋" w:eastAsia="仿宋" w:cs="仿宋"/>
          <w:b/>
          <w:bCs/>
        </w:rPr>
        <w:sectPr>
          <w:footerReference r:id="rId9"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2045"/>
        <w:gridCol w:w="4137"/>
        <w:gridCol w:w="3171"/>
        <w:gridCol w:w="2778"/>
        <w:gridCol w:w="3085"/>
      </w:tblGrid>
      <w:tr>
        <w:tblPrEx>
          <w:tblCellMar>
            <w:top w:w="55" w:type="dxa"/>
            <w:left w:w="55" w:type="dxa"/>
            <w:bottom w:w="55" w:type="dxa"/>
            <w:right w:w="55" w:type="dxa"/>
          </w:tblCellMar>
        </w:tblPrEx>
        <w:trPr>
          <w:trHeight w:val="321" w:hRule="atLeast"/>
        </w:trPr>
        <w:tc>
          <w:tcPr>
            <w:tcW w:w="15216" w:type="dxa"/>
            <w:gridSpan w:val="5"/>
            <w:vAlign w:val="center"/>
          </w:tcPr>
          <w:p>
            <w:pPr>
              <w:pStyle w:val="22"/>
              <w:widowControl w:val="0"/>
              <w:jc w:val="center"/>
              <w:rPr>
                <w:rFonts w:hint="eastAsia" w:ascii="仿宋" w:hAnsi="仿宋" w:eastAsia="仿宋" w:cs="仿宋"/>
                <w:b/>
                <w:bCs/>
                <w:sz w:val="44"/>
                <w:szCs w:val="44"/>
              </w:rPr>
            </w:pPr>
            <w:r>
              <w:rPr>
                <w:rFonts w:hint="eastAsia" w:ascii="仿宋" w:hAnsi="仿宋" w:eastAsia="仿宋" w:cs="仿宋"/>
                <w:b/>
                <w:bCs/>
                <w:sz w:val="44"/>
                <w:szCs w:val="44"/>
              </w:rPr>
              <w:t>财政拨款支出决算表（功能科目）</w:t>
            </w:r>
          </w:p>
        </w:tc>
      </w:tr>
      <w:tr>
        <w:tblPrEx>
          <w:tblCellMar>
            <w:top w:w="55" w:type="dxa"/>
            <w:left w:w="55" w:type="dxa"/>
            <w:bottom w:w="55" w:type="dxa"/>
            <w:right w:w="55" w:type="dxa"/>
          </w:tblCellMar>
        </w:tblPrEx>
        <w:trPr>
          <w:trHeight w:val="321" w:hRule="atLeast"/>
        </w:trPr>
        <w:tc>
          <w:tcPr>
            <w:tcW w:w="6182" w:type="dxa"/>
            <w:gridSpan w:val="2"/>
          </w:tcPr>
          <w:p>
            <w:pPr>
              <w:pStyle w:val="22"/>
              <w:widowControl w:val="0"/>
              <w:rPr>
                <w:rFonts w:hint="eastAsia" w:ascii="仿宋" w:hAnsi="仿宋" w:eastAsia="仿宋" w:cs="仿宋"/>
                <w:sz w:val="20"/>
              </w:rPr>
            </w:pPr>
          </w:p>
        </w:tc>
        <w:tc>
          <w:tcPr>
            <w:tcW w:w="3171" w:type="dxa"/>
          </w:tcPr>
          <w:p>
            <w:pPr>
              <w:pStyle w:val="22"/>
              <w:widowControl w:val="0"/>
              <w:rPr>
                <w:rFonts w:hint="eastAsia" w:ascii="仿宋" w:hAnsi="仿宋" w:eastAsia="仿宋" w:cs="仿宋"/>
                <w:sz w:val="27"/>
              </w:rPr>
            </w:pPr>
          </w:p>
        </w:tc>
        <w:tc>
          <w:tcPr>
            <w:tcW w:w="5863" w:type="dxa"/>
            <w:gridSpan w:val="2"/>
            <w:vAlign w:val="center"/>
          </w:tcPr>
          <w:p>
            <w:pPr>
              <w:pStyle w:val="22"/>
              <w:widowControl w:val="0"/>
              <w:jc w:val="right"/>
              <w:rPr>
                <w:rFonts w:hint="eastAsia" w:ascii="仿宋" w:hAnsi="仿宋" w:eastAsia="仿宋" w:cs="仿宋"/>
                <w:sz w:val="27"/>
              </w:rPr>
            </w:pPr>
            <w:r>
              <w:rPr>
                <w:rFonts w:hint="eastAsia" w:ascii="仿宋" w:hAnsi="仿宋" w:eastAsia="仿宋" w:cs="仿宋"/>
              </w:rPr>
              <w:t>公开05表</w:t>
            </w:r>
          </w:p>
        </w:tc>
      </w:tr>
      <w:tr>
        <w:tblPrEx>
          <w:tblCellMar>
            <w:top w:w="55" w:type="dxa"/>
            <w:left w:w="55" w:type="dxa"/>
            <w:bottom w:w="55" w:type="dxa"/>
            <w:right w:w="55" w:type="dxa"/>
          </w:tblCellMar>
        </w:tblPrEx>
        <w:trPr>
          <w:trHeight w:val="288" w:hRule="atLeast"/>
        </w:trPr>
        <w:tc>
          <w:tcPr>
            <w:tcW w:w="6182" w:type="dxa"/>
            <w:gridSpan w:val="2"/>
          </w:tcPr>
          <w:p>
            <w:pPr>
              <w:pStyle w:val="22"/>
              <w:widowControl w:val="0"/>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名称：</w:t>
            </w:r>
            <w:r>
              <w:rPr>
                <w:rFonts w:hint="eastAsia" w:ascii="仿宋" w:hAnsi="仿宋" w:eastAsia="仿宋" w:cs="仿宋"/>
              </w:rPr>
              <w:t>江苏省无锡交通高等职业技术学校</w:t>
            </w:r>
          </w:p>
        </w:tc>
        <w:tc>
          <w:tcPr>
            <w:tcW w:w="3171" w:type="dxa"/>
          </w:tcPr>
          <w:p>
            <w:pPr>
              <w:pStyle w:val="22"/>
              <w:widowControl w:val="0"/>
              <w:rPr>
                <w:rFonts w:hint="eastAsia" w:ascii="仿宋" w:hAnsi="仿宋" w:eastAsia="仿宋" w:cs="仿宋"/>
                <w:sz w:val="27"/>
              </w:rPr>
            </w:pPr>
          </w:p>
        </w:tc>
        <w:tc>
          <w:tcPr>
            <w:tcW w:w="2778" w:type="dxa"/>
            <w:vAlign w:val="center"/>
          </w:tcPr>
          <w:p>
            <w:pPr>
              <w:pStyle w:val="22"/>
              <w:widowControl w:val="0"/>
              <w:jc w:val="right"/>
              <w:rPr>
                <w:rFonts w:hint="eastAsia" w:ascii="仿宋" w:hAnsi="仿宋" w:eastAsia="仿宋" w:cs="仿宋"/>
                <w:sz w:val="27"/>
              </w:rPr>
            </w:pPr>
          </w:p>
        </w:tc>
        <w:tc>
          <w:tcPr>
            <w:tcW w:w="3085"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319" w:hRule="atLeast"/>
        </w:trPr>
        <w:tc>
          <w:tcPr>
            <w:tcW w:w="6182" w:type="dxa"/>
            <w:gridSpan w:val="2"/>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w:t>
            </w:r>
            <w:r>
              <w:rPr>
                <w:rFonts w:hint="eastAsia" w:ascii="仿宋" w:hAnsi="仿宋" w:eastAsia="仿宋" w:cs="仿宋"/>
                <w:sz w:val="22"/>
                <w:szCs w:val="22"/>
              </w:rPr>
              <w:tab/>
            </w:r>
            <w:r>
              <w:rPr>
                <w:rFonts w:hint="eastAsia" w:ascii="仿宋" w:hAnsi="仿宋" w:eastAsia="仿宋" w:cs="仿宋"/>
                <w:sz w:val="22"/>
                <w:szCs w:val="22"/>
              </w:rPr>
              <w:t>目</w:t>
            </w:r>
          </w:p>
        </w:tc>
        <w:tc>
          <w:tcPr>
            <w:tcW w:w="3171" w:type="dxa"/>
            <w:vMerge w:val="restart"/>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本年支出合计</w:t>
            </w:r>
          </w:p>
        </w:tc>
        <w:tc>
          <w:tcPr>
            <w:tcW w:w="2778" w:type="dxa"/>
            <w:vMerge w:val="restart"/>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基本支出</w:t>
            </w:r>
          </w:p>
        </w:tc>
        <w:tc>
          <w:tcPr>
            <w:tcW w:w="3085" w:type="dxa"/>
            <w:vMerge w:val="restart"/>
            <w:tcBorders>
              <w:top w:val="single" w:color="000000" w:sz="6" w:space="0"/>
              <w:left w:val="single" w:color="000000" w:sz="6" w:space="0"/>
              <w:bottom w:val="single" w:color="000000" w:sz="6" w:space="0"/>
              <w:righ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341" w:hRule="atLeast"/>
        </w:trPr>
        <w:tc>
          <w:tcPr>
            <w:tcW w:w="2045"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功能分类科目编码</w:t>
            </w:r>
          </w:p>
        </w:tc>
        <w:tc>
          <w:tcPr>
            <w:tcW w:w="4137"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3171" w:type="dxa"/>
            <w:vMerge w:val="continue"/>
            <w:tcBorders>
              <w:left w:val="single" w:color="000000" w:sz="6" w:space="0"/>
              <w:bottom w:val="single" w:color="000000" w:sz="6" w:space="0"/>
            </w:tcBorders>
          </w:tcPr>
          <w:p>
            <w:pPr>
              <w:widowControl w:val="0"/>
              <w:jc w:val="left"/>
              <w:rPr>
                <w:rFonts w:hint="eastAsia" w:ascii="仿宋" w:hAnsi="仿宋" w:eastAsia="仿宋" w:cs="仿宋"/>
                <w:sz w:val="22"/>
                <w:szCs w:val="22"/>
              </w:rPr>
            </w:pPr>
          </w:p>
        </w:tc>
        <w:tc>
          <w:tcPr>
            <w:tcW w:w="2778" w:type="dxa"/>
            <w:vMerge w:val="continue"/>
            <w:tcBorders>
              <w:left w:val="single" w:color="000000" w:sz="6" w:space="0"/>
              <w:bottom w:val="single" w:color="000000" w:sz="6" w:space="0"/>
            </w:tcBorders>
          </w:tcPr>
          <w:p>
            <w:pPr>
              <w:widowControl w:val="0"/>
              <w:jc w:val="left"/>
              <w:rPr>
                <w:rFonts w:hint="eastAsia" w:ascii="仿宋" w:hAnsi="仿宋" w:eastAsia="仿宋" w:cs="仿宋"/>
                <w:sz w:val="22"/>
                <w:szCs w:val="22"/>
              </w:rPr>
            </w:pPr>
          </w:p>
        </w:tc>
        <w:tc>
          <w:tcPr>
            <w:tcW w:w="3085" w:type="dxa"/>
            <w:vMerge w:val="continue"/>
            <w:tcBorders>
              <w:left w:val="single" w:color="000000" w:sz="6" w:space="0"/>
              <w:bottom w:val="single" w:color="000000" w:sz="6" w:space="0"/>
              <w:right w:val="single" w:color="000000" w:sz="6" w:space="0"/>
            </w:tcBorders>
          </w:tcPr>
          <w:p>
            <w:pPr>
              <w:widowControl w:val="0"/>
              <w:jc w:val="left"/>
              <w:rPr>
                <w:rFonts w:hint="eastAsia" w:ascii="仿宋" w:hAnsi="仿宋" w:eastAsia="仿宋" w:cs="仿宋"/>
                <w:sz w:val="22"/>
                <w:szCs w:val="22"/>
              </w:rPr>
            </w:pPr>
          </w:p>
        </w:tc>
      </w:tr>
      <w:tr>
        <w:tblPrEx>
          <w:tblCellMar>
            <w:top w:w="55" w:type="dxa"/>
            <w:left w:w="55" w:type="dxa"/>
            <w:bottom w:w="55" w:type="dxa"/>
            <w:right w:w="55" w:type="dxa"/>
          </w:tblCellMar>
        </w:tblPrEx>
        <w:trPr>
          <w:trHeight w:val="275" w:hRule="atLeast"/>
        </w:trPr>
        <w:tc>
          <w:tcPr>
            <w:tcW w:w="6182"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栏次</w:t>
            </w:r>
          </w:p>
        </w:tc>
        <w:tc>
          <w:tcPr>
            <w:tcW w:w="3171"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1</w:t>
            </w:r>
          </w:p>
        </w:tc>
        <w:tc>
          <w:tcPr>
            <w:tcW w:w="2778"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2</w:t>
            </w:r>
          </w:p>
        </w:tc>
        <w:tc>
          <w:tcPr>
            <w:tcW w:w="3085" w:type="dxa"/>
            <w:tcBorders>
              <w:left w:val="single" w:color="000000" w:sz="6" w:space="0"/>
              <w:bottom w:val="single" w:color="000000" w:sz="6" w:space="0"/>
              <w:righ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3</w:t>
            </w:r>
          </w:p>
        </w:tc>
      </w:tr>
      <w:tr>
        <w:tblPrEx>
          <w:tblCellMar>
            <w:top w:w="55" w:type="dxa"/>
            <w:left w:w="55" w:type="dxa"/>
            <w:bottom w:w="55" w:type="dxa"/>
            <w:right w:w="55" w:type="dxa"/>
          </w:tblCellMar>
        </w:tblPrEx>
        <w:trPr>
          <w:trHeight w:val="374" w:hRule="exact"/>
        </w:trPr>
        <w:tc>
          <w:tcPr>
            <w:tcW w:w="6182"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3171"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11,805.75</w:t>
            </w:r>
          </w:p>
        </w:tc>
        <w:tc>
          <w:tcPr>
            <w:tcW w:w="2778"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rPr>
              <w:t>8,752.29</w:t>
            </w:r>
          </w:p>
        </w:tc>
        <w:tc>
          <w:tcPr>
            <w:tcW w:w="3085" w:type="dxa"/>
            <w:tcBorders>
              <w:left w:val="single" w:color="000000" w:sz="6" w:space="0"/>
              <w:bottom w:val="single" w:color="000000" w:sz="6" w:space="0"/>
              <w:right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3,053.46</w:t>
            </w:r>
          </w:p>
        </w:tc>
      </w:tr>
      <w:tr>
        <w:tblPrEx>
          <w:tblCellMar>
            <w:top w:w="55" w:type="dxa"/>
            <w:left w:w="55" w:type="dxa"/>
            <w:bottom w:w="55" w:type="dxa"/>
            <w:right w:w="55" w:type="dxa"/>
          </w:tblCellMar>
        </w:tblPrEx>
        <w:trPr>
          <w:cantSplit/>
          <w:trHeight w:val="224" w:hRule="atLeast"/>
        </w:trPr>
        <w:tc>
          <w:tcPr>
            <w:tcW w:w="2045"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205</w:t>
            </w:r>
          </w:p>
        </w:tc>
        <w:tc>
          <w:tcPr>
            <w:tcW w:w="413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教育支出</w:t>
            </w:r>
          </w:p>
        </w:tc>
        <w:tc>
          <w:tcPr>
            <w:tcW w:w="3171"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10,738.29</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7,696.83</w:t>
            </w:r>
          </w:p>
        </w:tc>
        <w:tc>
          <w:tcPr>
            <w:tcW w:w="308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3,041.46</w:t>
            </w:r>
          </w:p>
        </w:tc>
      </w:tr>
      <w:tr>
        <w:tblPrEx>
          <w:tblCellMar>
            <w:top w:w="55" w:type="dxa"/>
            <w:left w:w="55" w:type="dxa"/>
            <w:bottom w:w="55" w:type="dxa"/>
            <w:right w:w="55" w:type="dxa"/>
          </w:tblCellMar>
        </w:tblPrEx>
        <w:trPr>
          <w:cantSplit/>
          <w:trHeight w:val="224" w:hRule="atLeast"/>
        </w:trPr>
        <w:tc>
          <w:tcPr>
            <w:tcW w:w="2045"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20503</w:t>
            </w:r>
          </w:p>
        </w:tc>
        <w:tc>
          <w:tcPr>
            <w:tcW w:w="413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职业教育</w:t>
            </w:r>
          </w:p>
        </w:tc>
        <w:tc>
          <w:tcPr>
            <w:tcW w:w="3171"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10,738.29</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7,696.83</w:t>
            </w:r>
          </w:p>
        </w:tc>
        <w:tc>
          <w:tcPr>
            <w:tcW w:w="308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3,041.46</w:t>
            </w:r>
          </w:p>
        </w:tc>
      </w:tr>
      <w:tr>
        <w:tblPrEx>
          <w:tblCellMar>
            <w:top w:w="55" w:type="dxa"/>
            <w:left w:w="55" w:type="dxa"/>
            <w:bottom w:w="55" w:type="dxa"/>
            <w:right w:w="55" w:type="dxa"/>
          </w:tblCellMar>
        </w:tblPrEx>
        <w:trPr>
          <w:cantSplit/>
          <w:trHeight w:val="224" w:hRule="atLeast"/>
        </w:trPr>
        <w:tc>
          <w:tcPr>
            <w:tcW w:w="2045"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2050302</w:t>
            </w:r>
          </w:p>
        </w:tc>
        <w:tc>
          <w:tcPr>
            <w:tcW w:w="413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中等职业教育</w:t>
            </w:r>
          </w:p>
        </w:tc>
        <w:tc>
          <w:tcPr>
            <w:tcW w:w="3171"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10,732.89</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7,691.43</w:t>
            </w:r>
          </w:p>
        </w:tc>
        <w:tc>
          <w:tcPr>
            <w:tcW w:w="308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3,041.46</w:t>
            </w:r>
          </w:p>
        </w:tc>
      </w:tr>
      <w:tr>
        <w:tblPrEx>
          <w:tblCellMar>
            <w:top w:w="55" w:type="dxa"/>
            <w:left w:w="55" w:type="dxa"/>
            <w:bottom w:w="55" w:type="dxa"/>
            <w:right w:w="55" w:type="dxa"/>
          </w:tblCellMar>
        </w:tblPrEx>
        <w:trPr>
          <w:cantSplit/>
          <w:trHeight w:val="224" w:hRule="atLeast"/>
        </w:trPr>
        <w:tc>
          <w:tcPr>
            <w:tcW w:w="2045"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2050305</w:t>
            </w:r>
          </w:p>
        </w:tc>
        <w:tc>
          <w:tcPr>
            <w:tcW w:w="413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高等职业教育</w:t>
            </w:r>
          </w:p>
        </w:tc>
        <w:tc>
          <w:tcPr>
            <w:tcW w:w="3171"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5.40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5.40</w:t>
            </w:r>
          </w:p>
        </w:tc>
        <w:tc>
          <w:tcPr>
            <w:tcW w:w="308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2045"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w:t>
            </w:r>
          </w:p>
        </w:tc>
        <w:tc>
          <w:tcPr>
            <w:tcW w:w="413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3171"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824.40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824.40</w:t>
            </w:r>
          </w:p>
        </w:tc>
        <w:tc>
          <w:tcPr>
            <w:tcW w:w="308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2045"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20805</w:t>
            </w:r>
          </w:p>
        </w:tc>
        <w:tc>
          <w:tcPr>
            <w:tcW w:w="413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3171"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824.40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824.40</w:t>
            </w:r>
          </w:p>
        </w:tc>
        <w:tc>
          <w:tcPr>
            <w:tcW w:w="308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2045"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2080505</w:t>
            </w:r>
          </w:p>
        </w:tc>
        <w:tc>
          <w:tcPr>
            <w:tcW w:w="413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3171"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549.60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549.60</w:t>
            </w:r>
          </w:p>
        </w:tc>
        <w:tc>
          <w:tcPr>
            <w:tcW w:w="308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2045"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2080506</w:t>
            </w:r>
          </w:p>
        </w:tc>
        <w:tc>
          <w:tcPr>
            <w:tcW w:w="413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3171"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274.80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274.80</w:t>
            </w:r>
          </w:p>
        </w:tc>
        <w:tc>
          <w:tcPr>
            <w:tcW w:w="308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2045"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214</w:t>
            </w:r>
          </w:p>
        </w:tc>
        <w:tc>
          <w:tcPr>
            <w:tcW w:w="413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交通运输支出</w:t>
            </w:r>
          </w:p>
        </w:tc>
        <w:tc>
          <w:tcPr>
            <w:tcW w:w="3171"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12.00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08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12.00</w:t>
            </w:r>
          </w:p>
        </w:tc>
      </w:tr>
      <w:tr>
        <w:tblPrEx>
          <w:tblCellMar>
            <w:top w:w="55" w:type="dxa"/>
            <w:left w:w="55" w:type="dxa"/>
            <w:bottom w:w="55" w:type="dxa"/>
            <w:right w:w="55" w:type="dxa"/>
          </w:tblCellMar>
        </w:tblPrEx>
        <w:trPr>
          <w:cantSplit/>
          <w:trHeight w:val="224" w:hRule="atLeast"/>
        </w:trPr>
        <w:tc>
          <w:tcPr>
            <w:tcW w:w="2045"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21499</w:t>
            </w:r>
          </w:p>
        </w:tc>
        <w:tc>
          <w:tcPr>
            <w:tcW w:w="413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其他交通运输支出</w:t>
            </w:r>
          </w:p>
        </w:tc>
        <w:tc>
          <w:tcPr>
            <w:tcW w:w="3171"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12.00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08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12.00</w:t>
            </w:r>
          </w:p>
        </w:tc>
      </w:tr>
      <w:tr>
        <w:tblPrEx>
          <w:tblCellMar>
            <w:top w:w="55" w:type="dxa"/>
            <w:left w:w="55" w:type="dxa"/>
            <w:bottom w:w="55" w:type="dxa"/>
            <w:right w:w="55" w:type="dxa"/>
          </w:tblCellMar>
        </w:tblPrEx>
        <w:trPr>
          <w:cantSplit/>
          <w:trHeight w:val="224" w:hRule="atLeast"/>
        </w:trPr>
        <w:tc>
          <w:tcPr>
            <w:tcW w:w="2045"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2149999</w:t>
            </w:r>
          </w:p>
        </w:tc>
        <w:tc>
          <w:tcPr>
            <w:tcW w:w="413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其他交通运输支出</w:t>
            </w:r>
          </w:p>
        </w:tc>
        <w:tc>
          <w:tcPr>
            <w:tcW w:w="3171"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12.00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08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12.00</w:t>
            </w:r>
          </w:p>
        </w:tc>
      </w:tr>
      <w:tr>
        <w:tblPrEx>
          <w:tblCellMar>
            <w:top w:w="55" w:type="dxa"/>
            <w:left w:w="55" w:type="dxa"/>
            <w:bottom w:w="55" w:type="dxa"/>
            <w:right w:w="55" w:type="dxa"/>
          </w:tblCellMar>
        </w:tblPrEx>
        <w:trPr>
          <w:cantSplit/>
          <w:trHeight w:val="224" w:hRule="atLeast"/>
        </w:trPr>
        <w:tc>
          <w:tcPr>
            <w:tcW w:w="2045"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w:t>
            </w:r>
          </w:p>
        </w:tc>
        <w:tc>
          <w:tcPr>
            <w:tcW w:w="413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住房保障支出</w:t>
            </w:r>
          </w:p>
        </w:tc>
        <w:tc>
          <w:tcPr>
            <w:tcW w:w="3171"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231.06</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231.06</w:t>
            </w:r>
          </w:p>
        </w:tc>
        <w:tc>
          <w:tcPr>
            <w:tcW w:w="308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2045"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413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住房改革支出</w:t>
            </w:r>
          </w:p>
        </w:tc>
        <w:tc>
          <w:tcPr>
            <w:tcW w:w="3171"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231.06</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231.06</w:t>
            </w:r>
          </w:p>
        </w:tc>
        <w:tc>
          <w:tcPr>
            <w:tcW w:w="308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2045"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2210202</w:t>
            </w:r>
          </w:p>
        </w:tc>
        <w:tc>
          <w:tcPr>
            <w:tcW w:w="413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提租补贴</w:t>
            </w:r>
          </w:p>
        </w:tc>
        <w:tc>
          <w:tcPr>
            <w:tcW w:w="3171"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231.06</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231.06</w:t>
            </w:r>
          </w:p>
        </w:tc>
        <w:tc>
          <w:tcPr>
            <w:tcW w:w="308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widowControl w:val="0"/>
        <w:tabs>
          <w:tab w:val="left" w:pos="220"/>
        </w:tabs>
        <w:suppressAutoHyphens/>
        <w:bidi w:val="0"/>
        <w:spacing w:before="0" w:after="0"/>
        <w:ind w:left="220" w:leftChars="100" w:right="0" w:firstLine="0" w:firstLineChars="0"/>
        <w:jc w:val="both"/>
        <w:rPr>
          <w:rFonts w:hint="eastAsia" w:ascii="仿宋" w:hAnsi="仿宋" w:eastAsia="仿宋" w:cs="仿宋"/>
          <w:b/>
          <w:bCs/>
        </w:rPr>
      </w:pPr>
      <w:r>
        <w:rPr>
          <w:rFonts w:hint="eastAsia" w:ascii="仿宋" w:hAnsi="仿宋" w:eastAsia="仿宋" w:cs="仿宋"/>
          <w:b/>
          <w:bCs/>
        </w:rPr>
        <w:t>注：1.本表反映部门本年度按功能分类财政拨款实际支出情况。财政拨款指一般公共预算财政拨款、政府性基金预算财政拨款和国有资本经营预</w:t>
      </w:r>
    </w:p>
    <w:p>
      <w:pPr>
        <w:widowControl w:val="0"/>
        <w:tabs>
          <w:tab w:val="left" w:pos="55"/>
        </w:tabs>
        <w:suppressAutoHyphens/>
        <w:bidi w:val="0"/>
        <w:spacing w:before="0" w:after="0"/>
        <w:ind w:right="0" w:firstLine="663" w:firstLineChars="300"/>
        <w:jc w:val="both"/>
        <w:rPr>
          <w:rFonts w:hint="eastAsia" w:ascii="仿宋" w:hAnsi="仿宋" w:eastAsia="仿宋" w:cs="仿宋"/>
          <w:b/>
          <w:bCs/>
        </w:rPr>
      </w:pPr>
      <w:r>
        <w:rPr>
          <w:rFonts w:hint="eastAsia" w:ascii="仿宋" w:hAnsi="仿宋" w:eastAsia="仿宋" w:cs="仿宋"/>
          <w:b/>
          <w:bCs/>
        </w:rPr>
        <w:t>算财政拨款。</w:t>
      </w:r>
    </w:p>
    <w:p>
      <w:pPr>
        <w:widowControl w:val="0"/>
        <w:numPr>
          <w:ilvl w:val="0"/>
          <w:numId w:val="4"/>
        </w:numPr>
        <w:tabs>
          <w:tab w:val="left" w:pos="55"/>
          <w:tab w:val="clear" w:pos="312"/>
        </w:tabs>
        <w:suppressAutoHyphens/>
        <w:bidi w:val="0"/>
        <w:spacing w:before="0" w:after="0"/>
        <w:ind w:left="660" w:leftChars="0" w:right="0" w:firstLine="0" w:firstLineChars="0"/>
        <w:jc w:val="both"/>
        <w:rPr>
          <w:rFonts w:hint="eastAsia" w:ascii="仿宋" w:hAnsi="仿宋" w:eastAsia="仿宋" w:cs="仿宋"/>
          <w:b/>
          <w:bCs/>
        </w:rPr>
      </w:pPr>
      <w:r>
        <w:rPr>
          <w:rFonts w:hint="eastAsia" w:ascii="仿宋" w:hAnsi="仿宋" w:eastAsia="仿宋" w:cs="仿宋"/>
          <w:b/>
          <w:bCs/>
        </w:rPr>
        <w:t>本表金额转换为万元时，因四舍五入可能存在尾差。</w:t>
      </w:r>
    </w:p>
    <w:p>
      <w:pPr>
        <w:widowControl w:val="0"/>
        <w:numPr>
          <w:ilvl w:val="0"/>
          <w:numId w:val="0"/>
        </w:numPr>
        <w:tabs>
          <w:tab w:val="left" w:pos="55"/>
        </w:tabs>
        <w:suppressAutoHyphens/>
        <w:bidi w:val="0"/>
        <w:spacing w:before="0" w:after="0"/>
        <w:ind w:right="0" w:rightChars="0"/>
        <w:jc w:val="both"/>
        <w:rPr>
          <w:rFonts w:hint="eastAsia" w:ascii="仿宋" w:hAnsi="仿宋" w:eastAsia="仿宋" w:cs="仿宋"/>
          <w:b/>
          <w:bCs/>
        </w:rPr>
        <w:sectPr>
          <w:footerReference r:id="rId10"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rPr>
          <w:rFonts w:hint="eastAsia" w:ascii="仿宋" w:hAnsi="仿宋" w:eastAsia="仿宋" w:cs="仿宋"/>
          <w:sz w:val="20"/>
        </w:rPr>
      </w:pPr>
    </w:p>
    <w:tbl>
      <w:tblPr>
        <w:tblStyle w:val="12"/>
        <w:tblW w:w="10817" w:type="dxa"/>
        <w:tblInd w:w="-103" w:type="dxa"/>
        <w:tblLayout w:type="fixed"/>
        <w:tblCellMar>
          <w:top w:w="55" w:type="dxa"/>
          <w:left w:w="55" w:type="dxa"/>
          <w:bottom w:w="55" w:type="dxa"/>
          <w:right w:w="55" w:type="dxa"/>
        </w:tblCellMar>
      </w:tblPr>
      <w:tblGrid>
        <w:gridCol w:w="1131"/>
        <w:gridCol w:w="3542"/>
        <w:gridCol w:w="2047"/>
        <w:gridCol w:w="2040"/>
        <w:gridCol w:w="2057"/>
      </w:tblGrid>
      <w:tr>
        <w:tblPrEx>
          <w:tblCellMar>
            <w:top w:w="55" w:type="dxa"/>
            <w:left w:w="55" w:type="dxa"/>
            <w:bottom w:w="55" w:type="dxa"/>
            <w:right w:w="55" w:type="dxa"/>
          </w:tblCellMar>
        </w:tblPrEx>
        <w:trPr>
          <w:trHeight w:val="319" w:hRule="atLeast"/>
        </w:trPr>
        <w:tc>
          <w:tcPr>
            <w:tcW w:w="10817" w:type="dxa"/>
            <w:gridSpan w:val="5"/>
            <w:vAlign w:val="center"/>
          </w:tcPr>
          <w:p>
            <w:pPr>
              <w:pStyle w:val="22"/>
              <w:widowControl w:val="0"/>
              <w:jc w:val="center"/>
              <w:rPr>
                <w:rFonts w:hint="eastAsia" w:ascii="仿宋" w:hAnsi="仿宋" w:eastAsia="仿宋" w:cs="仿宋"/>
                <w:b/>
                <w:bCs/>
                <w:sz w:val="44"/>
                <w:szCs w:val="44"/>
              </w:rPr>
            </w:pPr>
            <w:r>
              <w:rPr>
                <w:rFonts w:hint="eastAsia" w:ascii="仿宋" w:hAnsi="仿宋" w:eastAsia="仿宋" w:cs="仿宋"/>
                <w:b/>
                <w:bCs/>
                <w:sz w:val="44"/>
                <w:szCs w:val="44"/>
              </w:rPr>
              <w:t>财政拨款基本支出决算表（经济科目）</w:t>
            </w:r>
          </w:p>
        </w:tc>
      </w:tr>
      <w:tr>
        <w:tblPrEx>
          <w:tblCellMar>
            <w:top w:w="55" w:type="dxa"/>
            <w:left w:w="55" w:type="dxa"/>
            <w:bottom w:w="55" w:type="dxa"/>
            <w:right w:w="55" w:type="dxa"/>
          </w:tblCellMar>
        </w:tblPrEx>
        <w:trPr>
          <w:trHeight w:val="319" w:hRule="atLeast"/>
        </w:trPr>
        <w:tc>
          <w:tcPr>
            <w:tcW w:w="4673" w:type="dxa"/>
            <w:gridSpan w:val="2"/>
          </w:tcPr>
          <w:p>
            <w:pPr>
              <w:pStyle w:val="22"/>
              <w:widowControl w:val="0"/>
              <w:rPr>
                <w:rFonts w:hint="eastAsia" w:ascii="仿宋" w:hAnsi="仿宋" w:eastAsia="仿宋" w:cs="仿宋"/>
                <w:sz w:val="20"/>
              </w:rPr>
            </w:pPr>
          </w:p>
        </w:tc>
        <w:tc>
          <w:tcPr>
            <w:tcW w:w="2047" w:type="dxa"/>
          </w:tcPr>
          <w:p>
            <w:pPr>
              <w:pStyle w:val="22"/>
              <w:widowControl w:val="0"/>
              <w:rPr>
                <w:rFonts w:hint="eastAsia" w:ascii="仿宋" w:hAnsi="仿宋" w:eastAsia="仿宋" w:cs="仿宋"/>
                <w:sz w:val="20"/>
              </w:rPr>
            </w:pPr>
          </w:p>
        </w:tc>
        <w:tc>
          <w:tcPr>
            <w:tcW w:w="2040" w:type="dxa"/>
          </w:tcPr>
          <w:p>
            <w:pPr>
              <w:pStyle w:val="22"/>
              <w:widowControl w:val="0"/>
              <w:rPr>
                <w:rFonts w:hint="eastAsia" w:ascii="仿宋" w:hAnsi="仿宋" w:eastAsia="仿宋" w:cs="仿宋"/>
                <w:sz w:val="20"/>
              </w:rPr>
            </w:pPr>
          </w:p>
        </w:tc>
        <w:tc>
          <w:tcPr>
            <w:tcW w:w="2057" w:type="dxa"/>
            <w:vAlign w:val="center"/>
          </w:tcPr>
          <w:p>
            <w:pPr>
              <w:pStyle w:val="22"/>
              <w:widowControl w:val="0"/>
              <w:jc w:val="right"/>
              <w:rPr>
                <w:rFonts w:hint="eastAsia" w:ascii="仿宋" w:hAnsi="仿宋" w:eastAsia="仿宋" w:cs="仿宋"/>
                <w:sz w:val="20"/>
              </w:rPr>
            </w:pPr>
            <w:r>
              <w:rPr>
                <w:rFonts w:hint="eastAsia" w:ascii="仿宋" w:hAnsi="仿宋" w:eastAsia="仿宋" w:cs="仿宋"/>
              </w:rPr>
              <w:t>公开06表</w:t>
            </w:r>
          </w:p>
        </w:tc>
      </w:tr>
      <w:tr>
        <w:tblPrEx>
          <w:tblCellMar>
            <w:top w:w="55" w:type="dxa"/>
            <w:left w:w="55" w:type="dxa"/>
            <w:bottom w:w="55" w:type="dxa"/>
            <w:right w:w="55" w:type="dxa"/>
          </w:tblCellMar>
        </w:tblPrEx>
        <w:trPr>
          <w:trHeight w:val="319" w:hRule="atLeast"/>
        </w:trPr>
        <w:tc>
          <w:tcPr>
            <w:tcW w:w="8760" w:type="dxa"/>
            <w:gridSpan w:val="4"/>
          </w:tcPr>
          <w:p>
            <w:pPr>
              <w:pStyle w:val="22"/>
              <w:widowControl w:val="0"/>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名称：</w:t>
            </w:r>
            <w:r>
              <w:rPr>
                <w:rFonts w:hint="eastAsia" w:ascii="仿宋" w:hAnsi="仿宋" w:eastAsia="仿宋" w:cs="仿宋"/>
                <w:sz w:val="22"/>
                <w:szCs w:val="22"/>
              </w:rPr>
              <w:t>江苏省无锡交通高等职业技术学校</w:t>
            </w:r>
          </w:p>
        </w:tc>
        <w:tc>
          <w:tcPr>
            <w:tcW w:w="2057" w:type="dxa"/>
            <w:vAlign w:val="center"/>
          </w:tcPr>
          <w:p>
            <w:pPr>
              <w:pStyle w:val="22"/>
              <w:widowControl w:val="0"/>
              <w:jc w:val="right"/>
              <w:rPr>
                <w:rFonts w:hint="eastAsia" w:ascii="仿宋" w:hAnsi="仿宋" w:eastAsia="仿宋" w:cs="仿宋"/>
                <w:sz w:val="20"/>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243" w:hRule="atLeast"/>
        </w:trPr>
        <w:tc>
          <w:tcPr>
            <w:tcW w:w="4673"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6144"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财政拨款基本支出</w:t>
            </w:r>
          </w:p>
        </w:tc>
      </w:tr>
      <w:tr>
        <w:tblPrEx>
          <w:tblCellMar>
            <w:top w:w="55" w:type="dxa"/>
            <w:left w:w="55" w:type="dxa"/>
            <w:bottom w:w="55" w:type="dxa"/>
            <w:right w:w="55" w:type="dxa"/>
          </w:tblCellMar>
        </w:tblPrEx>
        <w:trPr>
          <w:trHeight w:val="483" w:hRule="atLeast"/>
        </w:trPr>
        <w:tc>
          <w:tcPr>
            <w:tcW w:w="113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经济分类科目编码</w:t>
            </w:r>
          </w:p>
        </w:tc>
        <w:tc>
          <w:tcPr>
            <w:tcW w:w="354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04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04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2057"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409" w:hRule="exact"/>
        </w:trPr>
        <w:tc>
          <w:tcPr>
            <w:tcW w:w="4673"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合计</w:t>
            </w:r>
          </w:p>
        </w:tc>
        <w:tc>
          <w:tcPr>
            <w:tcW w:w="204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8,752.29</w:t>
            </w:r>
          </w:p>
        </w:tc>
        <w:tc>
          <w:tcPr>
            <w:tcW w:w="204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7,216.95</w:t>
            </w:r>
          </w:p>
        </w:tc>
        <w:tc>
          <w:tcPr>
            <w:tcW w:w="205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1,535.34</w:t>
            </w:r>
          </w:p>
        </w:tc>
      </w:tr>
      <w:tr>
        <w:tblPrEx>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6,689.42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6,689.42</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基本工资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1,231.13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1,231.13</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津贴补贴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231.06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231.06</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奖金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伙食补助费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71.69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71.69</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绩效工资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3,029.79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3,029.79</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机关事业单位基本养老保险缴费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549.60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549.60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职业年金缴费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274.80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274.80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职工基本医疗保险缴费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207.02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207.02</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公务员医疗补助缴费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其他社会保障缴费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48.93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48.93</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住房公积金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医疗费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1,045.41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1,045.41</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1,496.44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1,496.44</w:t>
            </w:r>
          </w:p>
        </w:tc>
      </w:tr>
      <w:tr>
        <w:tblPrEx>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办公费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15.81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15.81</w:t>
            </w:r>
          </w:p>
        </w:tc>
      </w:tr>
      <w:tr>
        <w:tblPrEx>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印刷费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54.58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54.58</w:t>
            </w:r>
          </w:p>
        </w:tc>
      </w:tr>
      <w:tr>
        <w:tblPrEx>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咨询费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4.00</w:t>
            </w:r>
          </w:p>
        </w:tc>
      </w:tr>
      <w:tr>
        <w:tblPrEx>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手续费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1.01</w:t>
            </w:r>
          </w:p>
        </w:tc>
      </w:tr>
      <w:tr>
        <w:tblPrEx>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102.01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102.01</w:t>
            </w:r>
          </w:p>
        </w:tc>
      </w:tr>
      <w:tr>
        <w:tblPrEx>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电费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159.72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159.72</w:t>
            </w:r>
          </w:p>
        </w:tc>
      </w:tr>
      <w:tr>
        <w:tblPrEx>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邮电费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49.89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49.89</w:t>
            </w:r>
          </w:p>
        </w:tc>
      </w:tr>
      <w:tr>
        <w:tblPrEx>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取暖费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物业管理费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196.84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196.84</w:t>
            </w:r>
          </w:p>
        </w:tc>
      </w:tr>
      <w:tr>
        <w:tblPrEx>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差旅费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42.07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42.07</w:t>
            </w:r>
          </w:p>
        </w:tc>
      </w:tr>
      <w:tr>
        <w:tblPrEx>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因公出国（境）费用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维修（护）费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租赁费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会议费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培训费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公务接待费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w:t>
            </w:r>
          </w:p>
        </w:tc>
      </w:tr>
      <w:tr>
        <w:tblPrEx>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专用材料费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7.03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7.03</w:t>
            </w:r>
          </w:p>
        </w:tc>
      </w:tr>
      <w:tr>
        <w:tblPrEx>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被装购置费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专用燃料费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22.16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22.16</w:t>
            </w:r>
          </w:p>
        </w:tc>
      </w:tr>
      <w:tr>
        <w:tblPrEx>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劳务费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244.79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244.79</w:t>
            </w:r>
          </w:p>
        </w:tc>
      </w:tr>
      <w:tr>
        <w:tblPrEx>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委托业务费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r>
      <w:tr>
        <w:tblPrEx>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工会经费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116.99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116.99</w:t>
            </w:r>
          </w:p>
        </w:tc>
      </w:tr>
      <w:tr>
        <w:tblPrEx>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福利费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7.92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7.92</w:t>
            </w:r>
          </w:p>
        </w:tc>
      </w:tr>
      <w:tr>
        <w:tblPrEx>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30231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公务用车运行维护费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5.59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5.59</w:t>
            </w:r>
          </w:p>
        </w:tc>
      </w:tr>
      <w:tr>
        <w:tblPrEx>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30239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其他交通费用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24.98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24.98</w:t>
            </w:r>
          </w:p>
        </w:tc>
      </w:tr>
      <w:tr>
        <w:tblPrEx>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30240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税金及附加费用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436.07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436.07</w:t>
            </w:r>
          </w:p>
        </w:tc>
      </w:tr>
      <w:tr>
        <w:tblPrEx>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527.52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527.52</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离休费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44.64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44.64</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退休费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308.69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308.69</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退职（役）费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抚恤金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14.27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14.27</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生活补助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救济费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医疗费补助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37.94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37.94</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助学金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121.97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121.97</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奖励金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个人农业生产补贴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代缴社会保险费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债务利息及费用支出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30701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国内债务付息</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30702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国外债务付息</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30703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国内债务发行费用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30704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国外债务发行费用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资本性支出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38.91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38.91</w:t>
            </w:r>
          </w:p>
        </w:tc>
      </w:tr>
      <w:tr>
        <w:tblPrEx>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31001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房屋建筑物购建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31002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办公设备购置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38.91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38.91</w:t>
            </w:r>
          </w:p>
        </w:tc>
      </w:tr>
      <w:tr>
        <w:tblPrEx>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31003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专用设备购置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31005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基础设施建设</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31006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大型修缮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31007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信息网络及软件购置更新</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31008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物资储备</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31009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土地补偿</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31010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安置补助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31011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地上附着物和青苗补偿</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31012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拆迁补偿</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31013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公务用车购置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31019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其他交通工具购置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31021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文物和陈列品购置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31022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无形资产购置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31099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其他资本性支出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对企业补助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31201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资本金注入</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31203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政府投资基金股权投资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31204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费用补贴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31205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利息补贴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31299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其他对企业补助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39906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赠与</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39907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国家赔偿费用支出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39908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对民间非营利组织和群众性自治组织补贴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39999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widowControl w:val="0"/>
        <w:tabs>
          <w:tab w:val="left" w:pos="660"/>
        </w:tabs>
        <w:suppressAutoHyphens/>
        <w:bidi w:val="0"/>
        <w:spacing w:before="25" w:after="0" w:line="290" w:lineRule="auto"/>
        <w:ind w:left="220" w:leftChars="0" w:right="397" w:hanging="460" w:firstLineChars="0"/>
        <w:jc w:val="left"/>
        <w:rPr>
          <w:rFonts w:hint="eastAsia" w:ascii="仿宋" w:hAnsi="仿宋" w:eastAsia="仿宋" w:cs="仿宋"/>
          <w:b/>
          <w:bCs/>
          <w:sz w:val="22"/>
          <w:szCs w:val="22"/>
        </w:rPr>
      </w:pPr>
      <w:r>
        <w:rPr>
          <w:rFonts w:hint="eastAsia" w:ascii="仿宋" w:hAnsi="仿宋" w:eastAsia="仿宋" w:cs="仿宋"/>
          <w:b/>
          <w:bCs/>
          <w:sz w:val="22"/>
          <w:szCs w:val="22"/>
        </w:rPr>
        <w:t>注：1.本表反映部门本年度按经济分类财政拨款基本支出明细情况。财政拨款指一般公共预算财政拨款、政府性基金预算财政拨款和国有资本经营预算财政拨款。</w:t>
      </w:r>
    </w:p>
    <w:p>
      <w:pPr>
        <w:keepNext w:val="0"/>
        <w:keepLines w:val="0"/>
        <w:pageBreakBefore w:val="0"/>
        <w:widowControl w:val="0"/>
        <w:numPr>
          <w:ilvl w:val="0"/>
          <w:numId w:val="5"/>
        </w:numPr>
        <w:tabs>
          <w:tab w:val="left" w:pos="0"/>
        </w:tabs>
        <w:kinsoku/>
        <w:wordWrap/>
        <w:overflowPunct/>
        <w:topLinePunct w:val="0"/>
        <w:autoSpaceDE/>
        <w:autoSpaceDN/>
        <w:bidi w:val="0"/>
        <w:adjustRightInd/>
        <w:snapToGrid/>
        <w:spacing w:line="255" w:lineRule="exact"/>
        <w:ind w:left="220" w:leftChars="0" w:firstLine="0" w:firstLineChars="0"/>
        <w:textAlignment w:val="auto"/>
        <w:rPr>
          <w:rFonts w:hint="eastAsia" w:ascii="仿宋" w:hAnsi="仿宋" w:eastAsia="仿宋" w:cs="仿宋"/>
          <w:b/>
          <w:bCs/>
          <w:sz w:val="22"/>
          <w:szCs w:val="22"/>
        </w:rPr>
      </w:pPr>
      <w:r>
        <w:rPr>
          <w:rFonts w:hint="eastAsia" w:ascii="仿宋" w:hAnsi="仿宋" w:eastAsia="仿宋" w:cs="仿宋"/>
          <w:b/>
          <w:bCs/>
          <w:sz w:val="22"/>
          <w:szCs w:val="22"/>
        </w:rPr>
        <w:t>本表金额转换为万元时，因四舍五入可能存在尾差。</w:t>
      </w:r>
    </w:p>
    <w:p>
      <w:pPr>
        <w:widowControl w:val="0"/>
        <w:numPr>
          <w:ilvl w:val="0"/>
          <w:numId w:val="0"/>
        </w:numPr>
        <w:suppressAutoHyphens/>
        <w:bidi w:val="0"/>
        <w:spacing w:before="0" w:after="0" w:line="255" w:lineRule="exact"/>
        <w:jc w:val="left"/>
        <w:rPr>
          <w:rFonts w:hint="eastAsia" w:ascii="仿宋" w:hAnsi="仿宋" w:eastAsia="仿宋" w:cs="仿宋"/>
          <w:b/>
          <w:bCs/>
          <w:sz w:val="22"/>
          <w:szCs w:val="22"/>
        </w:rPr>
        <w:sectPr>
          <w:footerReference r:id="rId11"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1040" w:type="dxa"/>
        <w:tblInd w:w="-240" w:type="dxa"/>
        <w:tblLayout w:type="fixed"/>
        <w:tblCellMar>
          <w:top w:w="55" w:type="dxa"/>
          <w:left w:w="55" w:type="dxa"/>
          <w:bottom w:w="55" w:type="dxa"/>
          <w:right w:w="55" w:type="dxa"/>
        </w:tblCellMar>
      </w:tblPr>
      <w:tblGrid>
        <w:gridCol w:w="1397"/>
        <w:gridCol w:w="3420"/>
        <w:gridCol w:w="2537"/>
        <w:gridCol w:w="1800"/>
        <w:gridCol w:w="1886"/>
      </w:tblGrid>
      <w:tr>
        <w:tblPrEx>
          <w:tblCellMar>
            <w:top w:w="55" w:type="dxa"/>
            <w:left w:w="55" w:type="dxa"/>
            <w:bottom w:w="55" w:type="dxa"/>
            <w:right w:w="55" w:type="dxa"/>
          </w:tblCellMar>
        </w:tblPrEx>
        <w:trPr>
          <w:trHeight w:val="560" w:hRule="atLeast"/>
        </w:trPr>
        <w:tc>
          <w:tcPr>
            <w:tcW w:w="11040" w:type="dxa"/>
            <w:gridSpan w:val="5"/>
            <w:vAlign w:val="center"/>
          </w:tcPr>
          <w:p>
            <w:pPr>
              <w:pStyle w:val="22"/>
              <w:widowControl w:val="0"/>
              <w:jc w:val="center"/>
              <w:rPr>
                <w:rFonts w:hint="eastAsia" w:ascii="仿宋" w:hAnsi="仿宋" w:eastAsia="仿宋" w:cs="仿宋"/>
                <w:b/>
                <w:bCs/>
                <w:sz w:val="44"/>
                <w:szCs w:val="44"/>
              </w:rPr>
            </w:pPr>
            <w:r>
              <w:rPr>
                <w:rFonts w:hint="eastAsia" w:ascii="仿宋" w:hAnsi="仿宋" w:eastAsia="仿宋" w:cs="仿宋"/>
                <w:b/>
                <w:bCs/>
                <w:sz w:val="44"/>
                <w:szCs w:val="44"/>
              </w:rPr>
              <w:t>一般公共预算支出决算表（功能科目）</w:t>
            </w:r>
          </w:p>
        </w:tc>
      </w:tr>
      <w:tr>
        <w:tblPrEx>
          <w:tblCellMar>
            <w:top w:w="55" w:type="dxa"/>
            <w:left w:w="55" w:type="dxa"/>
            <w:bottom w:w="55" w:type="dxa"/>
            <w:right w:w="55" w:type="dxa"/>
          </w:tblCellMar>
        </w:tblPrEx>
        <w:trPr>
          <w:trHeight w:val="243" w:hRule="atLeast"/>
        </w:trPr>
        <w:tc>
          <w:tcPr>
            <w:tcW w:w="4817" w:type="dxa"/>
            <w:gridSpan w:val="2"/>
          </w:tcPr>
          <w:p>
            <w:pPr>
              <w:pStyle w:val="22"/>
              <w:widowControl w:val="0"/>
              <w:rPr>
                <w:rFonts w:hint="eastAsia" w:ascii="仿宋" w:hAnsi="仿宋" w:eastAsia="仿宋" w:cs="仿宋"/>
                <w:sz w:val="20"/>
              </w:rPr>
            </w:pPr>
          </w:p>
        </w:tc>
        <w:tc>
          <w:tcPr>
            <w:tcW w:w="2537" w:type="dxa"/>
          </w:tcPr>
          <w:p>
            <w:pPr>
              <w:pStyle w:val="22"/>
              <w:widowControl w:val="0"/>
              <w:rPr>
                <w:rFonts w:hint="eastAsia" w:ascii="仿宋" w:hAnsi="仿宋" w:eastAsia="仿宋" w:cs="仿宋"/>
                <w:sz w:val="20"/>
              </w:rPr>
            </w:pPr>
          </w:p>
        </w:tc>
        <w:tc>
          <w:tcPr>
            <w:tcW w:w="1800" w:type="dxa"/>
          </w:tcPr>
          <w:p>
            <w:pPr>
              <w:pStyle w:val="22"/>
              <w:widowControl w:val="0"/>
              <w:rPr>
                <w:rFonts w:hint="eastAsia" w:ascii="仿宋" w:hAnsi="仿宋" w:eastAsia="仿宋" w:cs="仿宋"/>
                <w:sz w:val="20"/>
              </w:rPr>
            </w:pPr>
          </w:p>
        </w:tc>
        <w:tc>
          <w:tcPr>
            <w:tcW w:w="1886" w:type="dxa"/>
            <w:vAlign w:val="center"/>
          </w:tcPr>
          <w:p>
            <w:pPr>
              <w:pStyle w:val="22"/>
              <w:widowControl w:val="0"/>
              <w:jc w:val="right"/>
              <w:rPr>
                <w:rFonts w:hint="eastAsia" w:ascii="仿宋" w:hAnsi="仿宋" w:eastAsia="仿宋" w:cs="仿宋"/>
                <w:sz w:val="20"/>
              </w:rPr>
            </w:pPr>
            <w:r>
              <w:rPr>
                <w:rFonts w:hint="eastAsia" w:ascii="仿宋" w:hAnsi="仿宋" w:eastAsia="仿宋" w:cs="仿宋"/>
              </w:rPr>
              <w:t>公开07表</w:t>
            </w:r>
          </w:p>
        </w:tc>
      </w:tr>
      <w:tr>
        <w:tblPrEx>
          <w:tblCellMar>
            <w:top w:w="55" w:type="dxa"/>
            <w:left w:w="55" w:type="dxa"/>
            <w:bottom w:w="55" w:type="dxa"/>
            <w:right w:w="55" w:type="dxa"/>
          </w:tblCellMar>
        </w:tblPrEx>
        <w:trPr>
          <w:trHeight w:val="191" w:hRule="atLeast"/>
        </w:trPr>
        <w:tc>
          <w:tcPr>
            <w:tcW w:w="7354" w:type="dxa"/>
            <w:gridSpan w:val="3"/>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cs="仿宋" w:eastAsia="仿宋"/>
                <w:color w:val="000000"/>
                <w:sz w:val="22"/>
              </w:rPr>
              <w:t>名称：</w:t>
            </w:r>
            <w:r>
              <w:rPr>
                <w:rFonts w:hint="eastAsia" w:ascii="仿宋" w:hAnsi="仿宋" w:eastAsia="仿宋" w:cs="仿宋"/>
              </w:rPr>
              <w:t>江苏省无锡交通高等职业技术学校</w:t>
            </w:r>
          </w:p>
        </w:tc>
        <w:tc>
          <w:tcPr>
            <w:tcW w:w="3686" w:type="dxa"/>
            <w:gridSpan w:val="2"/>
          </w:tcPr>
          <w:p>
            <w:pPr>
              <w:pStyle w:val="22"/>
              <w:widowControl w:val="0"/>
              <w:jc w:val="right"/>
              <w:rPr>
                <w:rFonts w:hint="eastAsia" w:ascii="仿宋" w:hAnsi="仿宋" w:eastAsia="仿宋" w:cs="仿宋"/>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220" w:hRule="atLeast"/>
        </w:trPr>
        <w:tc>
          <w:tcPr>
            <w:tcW w:w="4817" w:type="dxa"/>
            <w:gridSpan w:val="2"/>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2537" w:type="dxa"/>
            <w:vMerge w:val="restart"/>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本年支出合计</w:t>
            </w:r>
          </w:p>
        </w:tc>
        <w:tc>
          <w:tcPr>
            <w:tcW w:w="1800" w:type="dxa"/>
            <w:vMerge w:val="restart"/>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1886" w:type="dxa"/>
            <w:vMerge w:val="restart"/>
            <w:tcBorders>
              <w:top w:val="single" w:color="000000" w:sz="6" w:space="0"/>
              <w:left w:val="single" w:color="000000" w:sz="6" w:space="0"/>
              <w:bottom w:val="single" w:color="000000" w:sz="6" w:space="0"/>
              <w:right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389" w:hRule="atLeast"/>
        </w:trPr>
        <w:tc>
          <w:tcPr>
            <w:tcW w:w="1397"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功能分类科目编码</w:t>
            </w:r>
          </w:p>
        </w:tc>
        <w:tc>
          <w:tcPr>
            <w:tcW w:w="3420"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537" w:type="dxa"/>
            <w:vMerge w:val="continue"/>
            <w:tcBorders>
              <w:left w:val="single" w:color="000000" w:sz="6" w:space="0"/>
              <w:bottom w:val="single" w:color="000000" w:sz="6" w:space="0"/>
            </w:tcBorders>
          </w:tcPr>
          <w:p>
            <w:pPr>
              <w:widowControl w:val="0"/>
              <w:jc w:val="left"/>
              <w:rPr>
                <w:rFonts w:hint="eastAsia" w:ascii="仿宋" w:hAnsi="仿宋" w:eastAsia="仿宋" w:cs="仿宋"/>
                <w:sz w:val="2"/>
                <w:szCs w:val="2"/>
              </w:rPr>
            </w:pPr>
          </w:p>
        </w:tc>
        <w:tc>
          <w:tcPr>
            <w:tcW w:w="1800" w:type="dxa"/>
            <w:vMerge w:val="continue"/>
            <w:tcBorders>
              <w:left w:val="single" w:color="000000" w:sz="6" w:space="0"/>
              <w:bottom w:val="single" w:color="000000" w:sz="6" w:space="0"/>
            </w:tcBorders>
          </w:tcPr>
          <w:p>
            <w:pPr>
              <w:widowControl w:val="0"/>
              <w:jc w:val="left"/>
              <w:rPr>
                <w:rFonts w:hint="eastAsia" w:ascii="仿宋" w:hAnsi="仿宋" w:eastAsia="仿宋" w:cs="仿宋"/>
                <w:sz w:val="2"/>
                <w:szCs w:val="2"/>
              </w:rPr>
            </w:pPr>
          </w:p>
        </w:tc>
        <w:tc>
          <w:tcPr>
            <w:tcW w:w="1886" w:type="dxa"/>
            <w:vMerge w:val="continue"/>
            <w:tcBorders>
              <w:left w:val="single" w:color="000000" w:sz="6" w:space="0"/>
              <w:bottom w:val="single" w:color="000000" w:sz="6" w:space="0"/>
              <w:right w:val="single" w:color="000000" w:sz="6" w:space="0"/>
            </w:tcBorders>
          </w:tcPr>
          <w:p>
            <w:pPr>
              <w:widowControl w:val="0"/>
              <w:jc w:val="left"/>
              <w:rPr>
                <w:rFonts w:hint="eastAsia" w:ascii="仿宋" w:hAnsi="仿宋" w:eastAsia="仿宋" w:cs="仿宋"/>
                <w:sz w:val="2"/>
                <w:szCs w:val="2"/>
              </w:rPr>
            </w:pPr>
          </w:p>
        </w:tc>
      </w:tr>
      <w:tr>
        <w:tblPrEx>
          <w:tblCellMar>
            <w:top w:w="55" w:type="dxa"/>
            <w:left w:w="55" w:type="dxa"/>
            <w:bottom w:w="55" w:type="dxa"/>
            <w:right w:w="55" w:type="dxa"/>
          </w:tblCellMar>
        </w:tblPrEx>
        <w:trPr>
          <w:trHeight w:val="152" w:hRule="atLeast"/>
        </w:trPr>
        <w:tc>
          <w:tcPr>
            <w:tcW w:w="4817"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栏次</w:t>
            </w:r>
          </w:p>
        </w:tc>
        <w:tc>
          <w:tcPr>
            <w:tcW w:w="2537"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1</w:t>
            </w:r>
          </w:p>
        </w:tc>
        <w:tc>
          <w:tcPr>
            <w:tcW w:w="1800"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2</w:t>
            </w:r>
          </w:p>
        </w:tc>
        <w:tc>
          <w:tcPr>
            <w:tcW w:w="1886" w:type="dxa"/>
            <w:tcBorders>
              <w:left w:val="single" w:color="000000" w:sz="6" w:space="0"/>
              <w:bottom w:val="single" w:color="000000" w:sz="6" w:space="0"/>
              <w:right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3</w:t>
            </w:r>
          </w:p>
        </w:tc>
      </w:tr>
      <w:tr>
        <w:tblPrEx>
          <w:tblCellMar>
            <w:top w:w="55" w:type="dxa"/>
            <w:left w:w="55" w:type="dxa"/>
            <w:bottom w:w="55" w:type="dxa"/>
            <w:right w:w="55" w:type="dxa"/>
          </w:tblCellMar>
        </w:tblPrEx>
        <w:trPr>
          <w:trHeight w:val="361" w:hRule="exact"/>
        </w:trPr>
        <w:tc>
          <w:tcPr>
            <w:tcW w:w="4817"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
            </w:r>
            <w:r>
              <w:rPr>
                <w:rFonts w:hint="eastAsia" w:ascii="仿宋" w:hAnsi="仿宋" w:eastAsia="仿宋" w:cs="仿宋"/>
              </w:rPr>
              <w:t>合计</w:t>
            </w:r>
          </w:p>
        </w:tc>
        <w:tc>
          <w:tcPr>
            <w:tcW w:w="2537" w:type="dxa"/>
            <w:tcBorders>
              <w:left w:val="single" w:color="000000" w:sz="6" w:space="0"/>
              <w:bottom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11,805.75</w:t>
            </w:r>
          </w:p>
        </w:tc>
        <w:tc>
          <w:tcPr>
            <w:tcW w:w="1800" w:type="dxa"/>
            <w:tcBorders>
              <w:left w:val="single" w:color="000000" w:sz="6" w:space="0"/>
              <w:bottom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8,752.29</w:t>
            </w:r>
          </w:p>
        </w:tc>
        <w:tc>
          <w:tcPr>
            <w:tcW w:w="1886" w:type="dxa"/>
            <w:tcBorders>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3,053.46</w:t>
            </w:r>
          </w:p>
        </w:tc>
      </w:tr>
      <w:tr>
        <w:tblPrEx>
          <w:tblCellMar>
            <w:top w:w="55" w:type="dxa"/>
            <w:left w:w="55" w:type="dxa"/>
            <w:bottom w:w="55" w:type="dxa"/>
            <w:right w:w="55" w:type="dxa"/>
          </w:tblCellMar>
        </w:tblPrEx>
        <w:trPr>
          <w:cantSplit/>
          <w:trHeight w:val="221" w:hRule="atLeast"/>
        </w:trPr>
        <w:tc>
          <w:tcPr>
            <w:tcW w:w="1397"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205</w:t>
            </w:r>
          </w:p>
        </w:tc>
        <w:tc>
          <w:tcPr>
            <w:tcW w:w="3420"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教育支出</w:t>
            </w:r>
          </w:p>
        </w:tc>
        <w:tc>
          <w:tcPr>
            <w:tcW w:w="2537"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10,738.29</w:t>
            </w:r>
          </w:p>
        </w:tc>
        <w:tc>
          <w:tcPr>
            <w:tcW w:w="1800"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7,696.83</w:t>
            </w:r>
          </w:p>
        </w:tc>
        <w:tc>
          <w:tcPr>
            <w:tcW w:w="1886"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3,041.46</w:t>
            </w:r>
          </w:p>
        </w:tc>
      </w:tr>
      <w:tr>
        <w:tblPrEx>
          <w:tblCellMar>
            <w:top w:w="55" w:type="dxa"/>
            <w:left w:w="55" w:type="dxa"/>
            <w:bottom w:w="55" w:type="dxa"/>
            <w:right w:w="55" w:type="dxa"/>
          </w:tblCellMar>
        </w:tblPrEx>
        <w:trPr>
          <w:cantSplit/>
          <w:trHeight w:val="221" w:hRule="atLeast"/>
        </w:trPr>
        <w:tc>
          <w:tcPr>
            <w:tcW w:w="1397"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20503</w:t>
            </w:r>
          </w:p>
        </w:tc>
        <w:tc>
          <w:tcPr>
            <w:tcW w:w="3420"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职业教育</w:t>
            </w:r>
          </w:p>
        </w:tc>
        <w:tc>
          <w:tcPr>
            <w:tcW w:w="2537"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10,738.29</w:t>
            </w:r>
          </w:p>
        </w:tc>
        <w:tc>
          <w:tcPr>
            <w:tcW w:w="1800"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7,696.83</w:t>
            </w:r>
          </w:p>
        </w:tc>
        <w:tc>
          <w:tcPr>
            <w:tcW w:w="1886"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3,041.46</w:t>
            </w:r>
          </w:p>
        </w:tc>
      </w:tr>
      <w:tr>
        <w:tblPrEx>
          <w:tblCellMar>
            <w:top w:w="55" w:type="dxa"/>
            <w:left w:w="55" w:type="dxa"/>
            <w:bottom w:w="55" w:type="dxa"/>
            <w:right w:w="55" w:type="dxa"/>
          </w:tblCellMar>
        </w:tblPrEx>
        <w:trPr>
          <w:cantSplit/>
          <w:trHeight w:val="221" w:hRule="atLeast"/>
        </w:trPr>
        <w:tc>
          <w:tcPr>
            <w:tcW w:w="1397"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2050302</w:t>
            </w:r>
          </w:p>
        </w:tc>
        <w:tc>
          <w:tcPr>
            <w:tcW w:w="3420"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中等职业教育</w:t>
            </w:r>
          </w:p>
        </w:tc>
        <w:tc>
          <w:tcPr>
            <w:tcW w:w="2537"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10,732.89</w:t>
            </w:r>
          </w:p>
        </w:tc>
        <w:tc>
          <w:tcPr>
            <w:tcW w:w="1800"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7,691.43</w:t>
            </w:r>
          </w:p>
        </w:tc>
        <w:tc>
          <w:tcPr>
            <w:tcW w:w="1886"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3,041.46</w:t>
            </w:r>
          </w:p>
        </w:tc>
      </w:tr>
      <w:tr>
        <w:tblPrEx>
          <w:tblCellMar>
            <w:top w:w="55" w:type="dxa"/>
            <w:left w:w="55" w:type="dxa"/>
            <w:bottom w:w="55" w:type="dxa"/>
            <w:right w:w="55" w:type="dxa"/>
          </w:tblCellMar>
        </w:tblPrEx>
        <w:trPr>
          <w:cantSplit/>
          <w:trHeight w:val="221" w:hRule="atLeast"/>
        </w:trPr>
        <w:tc>
          <w:tcPr>
            <w:tcW w:w="1397"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2050305</w:t>
            </w:r>
          </w:p>
        </w:tc>
        <w:tc>
          <w:tcPr>
            <w:tcW w:w="3420"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高等职业教育</w:t>
            </w:r>
          </w:p>
        </w:tc>
        <w:tc>
          <w:tcPr>
            <w:tcW w:w="2537"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5.40</w:t>
            </w:r>
          </w:p>
        </w:tc>
        <w:tc>
          <w:tcPr>
            <w:tcW w:w="1800"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5.40</w:t>
            </w:r>
          </w:p>
        </w:tc>
        <w:tc>
          <w:tcPr>
            <w:tcW w:w="1886"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21" w:hRule="atLeast"/>
        </w:trPr>
        <w:tc>
          <w:tcPr>
            <w:tcW w:w="1397"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208</w:t>
            </w:r>
          </w:p>
        </w:tc>
        <w:tc>
          <w:tcPr>
            <w:tcW w:w="3420"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社会保障和就业支出</w:t>
            </w:r>
          </w:p>
        </w:tc>
        <w:tc>
          <w:tcPr>
            <w:tcW w:w="2537"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824.40</w:t>
            </w:r>
          </w:p>
        </w:tc>
        <w:tc>
          <w:tcPr>
            <w:tcW w:w="1800"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824.40</w:t>
            </w:r>
          </w:p>
        </w:tc>
        <w:tc>
          <w:tcPr>
            <w:tcW w:w="1886"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21" w:hRule="atLeast"/>
        </w:trPr>
        <w:tc>
          <w:tcPr>
            <w:tcW w:w="1397"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20805</w:t>
            </w:r>
          </w:p>
        </w:tc>
        <w:tc>
          <w:tcPr>
            <w:tcW w:w="3420"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行政事业单位养老支出</w:t>
            </w:r>
          </w:p>
        </w:tc>
        <w:tc>
          <w:tcPr>
            <w:tcW w:w="2537"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824.40</w:t>
            </w:r>
          </w:p>
        </w:tc>
        <w:tc>
          <w:tcPr>
            <w:tcW w:w="1800"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824.40</w:t>
            </w:r>
          </w:p>
        </w:tc>
        <w:tc>
          <w:tcPr>
            <w:tcW w:w="1886"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21" w:hRule="atLeast"/>
        </w:trPr>
        <w:tc>
          <w:tcPr>
            <w:tcW w:w="1397"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2080505</w:t>
            </w:r>
          </w:p>
        </w:tc>
        <w:tc>
          <w:tcPr>
            <w:tcW w:w="3420"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机关事业单位基本养老保险缴费支出</w:t>
            </w:r>
          </w:p>
        </w:tc>
        <w:tc>
          <w:tcPr>
            <w:tcW w:w="2537"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549.60</w:t>
            </w:r>
          </w:p>
        </w:tc>
        <w:tc>
          <w:tcPr>
            <w:tcW w:w="1800"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549.60</w:t>
            </w:r>
          </w:p>
        </w:tc>
        <w:tc>
          <w:tcPr>
            <w:tcW w:w="1886"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21" w:hRule="atLeast"/>
        </w:trPr>
        <w:tc>
          <w:tcPr>
            <w:tcW w:w="1397"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2080506</w:t>
            </w:r>
          </w:p>
        </w:tc>
        <w:tc>
          <w:tcPr>
            <w:tcW w:w="3420"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机关事业单位职业年金缴费支出</w:t>
            </w:r>
          </w:p>
        </w:tc>
        <w:tc>
          <w:tcPr>
            <w:tcW w:w="2537"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274.80</w:t>
            </w:r>
          </w:p>
        </w:tc>
        <w:tc>
          <w:tcPr>
            <w:tcW w:w="1800"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274.80</w:t>
            </w:r>
          </w:p>
        </w:tc>
        <w:tc>
          <w:tcPr>
            <w:tcW w:w="1886"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21" w:hRule="atLeast"/>
        </w:trPr>
        <w:tc>
          <w:tcPr>
            <w:tcW w:w="1397"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214</w:t>
            </w:r>
          </w:p>
        </w:tc>
        <w:tc>
          <w:tcPr>
            <w:tcW w:w="3420"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交通运输支出</w:t>
            </w:r>
          </w:p>
        </w:tc>
        <w:tc>
          <w:tcPr>
            <w:tcW w:w="2537"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12.00</w:t>
            </w:r>
          </w:p>
        </w:tc>
        <w:tc>
          <w:tcPr>
            <w:tcW w:w="1800"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86"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12.00</w:t>
            </w:r>
          </w:p>
        </w:tc>
      </w:tr>
      <w:tr>
        <w:tblPrEx>
          <w:tblCellMar>
            <w:top w:w="55" w:type="dxa"/>
            <w:left w:w="55" w:type="dxa"/>
            <w:bottom w:w="55" w:type="dxa"/>
            <w:right w:w="55" w:type="dxa"/>
          </w:tblCellMar>
        </w:tblPrEx>
        <w:trPr>
          <w:cantSplit/>
          <w:trHeight w:val="221" w:hRule="atLeast"/>
        </w:trPr>
        <w:tc>
          <w:tcPr>
            <w:tcW w:w="1397"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21499</w:t>
            </w:r>
          </w:p>
        </w:tc>
        <w:tc>
          <w:tcPr>
            <w:tcW w:w="3420"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其他交通运输支出</w:t>
            </w:r>
          </w:p>
        </w:tc>
        <w:tc>
          <w:tcPr>
            <w:tcW w:w="2537"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12.00</w:t>
            </w:r>
          </w:p>
        </w:tc>
        <w:tc>
          <w:tcPr>
            <w:tcW w:w="1800"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86"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12.00</w:t>
            </w:r>
          </w:p>
        </w:tc>
      </w:tr>
      <w:tr>
        <w:tblPrEx>
          <w:tblCellMar>
            <w:top w:w="55" w:type="dxa"/>
            <w:left w:w="55" w:type="dxa"/>
            <w:bottom w:w="55" w:type="dxa"/>
            <w:right w:w="55" w:type="dxa"/>
          </w:tblCellMar>
        </w:tblPrEx>
        <w:trPr>
          <w:cantSplit/>
          <w:trHeight w:val="221" w:hRule="atLeast"/>
        </w:trPr>
        <w:tc>
          <w:tcPr>
            <w:tcW w:w="1397"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2149999</w:t>
            </w:r>
          </w:p>
        </w:tc>
        <w:tc>
          <w:tcPr>
            <w:tcW w:w="3420"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其他交通运输支出</w:t>
            </w:r>
          </w:p>
        </w:tc>
        <w:tc>
          <w:tcPr>
            <w:tcW w:w="2537"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12.00</w:t>
            </w:r>
          </w:p>
        </w:tc>
        <w:tc>
          <w:tcPr>
            <w:tcW w:w="1800"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86"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12.00</w:t>
            </w:r>
          </w:p>
        </w:tc>
      </w:tr>
      <w:tr>
        <w:tblPrEx>
          <w:tblCellMar>
            <w:top w:w="55" w:type="dxa"/>
            <w:left w:w="55" w:type="dxa"/>
            <w:bottom w:w="55" w:type="dxa"/>
            <w:right w:w="55" w:type="dxa"/>
          </w:tblCellMar>
        </w:tblPrEx>
        <w:trPr>
          <w:cantSplit/>
          <w:trHeight w:val="221" w:hRule="atLeast"/>
        </w:trPr>
        <w:tc>
          <w:tcPr>
            <w:tcW w:w="1397"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221</w:t>
            </w:r>
          </w:p>
        </w:tc>
        <w:tc>
          <w:tcPr>
            <w:tcW w:w="3420"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住房保障支出</w:t>
            </w:r>
          </w:p>
        </w:tc>
        <w:tc>
          <w:tcPr>
            <w:tcW w:w="2537"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231.06</w:t>
            </w:r>
          </w:p>
        </w:tc>
        <w:tc>
          <w:tcPr>
            <w:tcW w:w="1800"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231.06</w:t>
            </w:r>
          </w:p>
        </w:tc>
        <w:tc>
          <w:tcPr>
            <w:tcW w:w="1886"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21" w:hRule="atLeast"/>
        </w:trPr>
        <w:tc>
          <w:tcPr>
            <w:tcW w:w="1397"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22102</w:t>
            </w:r>
          </w:p>
        </w:tc>
        <w:tc>
          <w:tcPr>
            <w:tcW w:w="3420"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住房改革支出</w:t>
            </w:r>
          </w:p>
        </w:tc>
        <w:tc>
          <w:tcPr>
            <w:tcW w:w="2537"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231.06</w:t>
            </w:r>
          </w:p>
        </w:tc>
        <w:tc>
          <w:tcPr>
            <w:tcW w:w="1800"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231.06</w:t>
            </w:r>
          </w:p>
        </w:tc>
        <w:tc>
          <w:tcPr>
            <w:tcW w:w="1886"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21" w:hRule="atLeast"/>
        </w:trPr>
        <w:tc>
          <w:tcPr>
            <w:tcW w:w="1397"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2210202</w:t>
            </w:r>
          </w:p>
        </w:tc>
        <w:tc>
          <w:tcPr>
            <w:tcW w:w="3420"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提租补贴</w:t>
            </w:r>
          </w:p>
        </w:tc>
        <w:tc>
          <w:tcPr>
            <w:tcW w:w="2537"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231.06</w:t>
            </w:r>
          </w:p>
        </w:tc>
        <w:tc>
          <w:tcPr>
            <w:tcW w:w="1800"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231.06</w:t>
            </w:r>
          </w:p>
        </w:tc>
        <w:tc>
          <w:tcPr>
            <w:tcW w:w="1886"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tabs>
          <w:tab w:val="left" w:pos="0"/>
        </w:tabs>
        <w:spacing w:before="25" w:after="0"/>
        <w:ind w:left="-220" w:leftChars="-100" w:firstLine="0" w:firstLineChars="0"/>
        <w:rPr>
          <w:rFonts w:hint="eastAsia" w:ascii="仿宋" w:hAnsi="仿宋" w:eastAsia="仿宋" w:cs="仿宋"/>
          <w:b/>
          <w:bCs/>
          <w:sz w:val="22"/>
          <w:szCs w:val="22"/>
        </w:rPr>
      </w:pPr>
      <w:r>
        <w:rPr>
          <w:rFonts w:hint="eastAsia" w:ascii="仿宋" w:hAnsi="仿宋" w:eastAsia="仿宋" w:cs="仿宋"/>
          <w:b/>
          <w:bCs/>
          <w:sz w:val="22"/>
          <w:szCs w:val="22"/>
        </w:rPr>
        <w:t>注：1.本表反映部门本年度按功能分类一般公共预算财政拨款实际支出情况。</w:t>
      </w:r>
    </w:p>
    <w:p>
      <w:pPr>
        <w:numPr>
          <w:ilvl w:val="0"/>
          <w:numId w:val="6"/>
        </w:numPr>
        <w:tabs>
          <w:tab w:val="left" w:pos="0"/>
          <w:tab w:val="clear" w:pos="312"/>
        </w:tabs>
        <w:spacing w:before="25" w:after="0"/>
        <w:ind w:left="200" w:leftChars="0" w:firstLine="0" w:firstLineChars="0"/>
        <w:rPr>
          <w:rFonts w:hint="eastAsia" w:ascii="仿宋" w:hAnsi="仿宋" w:eastAsia="仿宋" w:cs="仿宋"/>
          <w:b/>
          <w:bCs/>
          <w:sz w:val="22"/>
          <w:szCs w:val="22"/>
        </w:rPr>
      </w:pPr>
      <w:r>
        <w:rPr>
          <w:rFonts w:hint="eastAsia" w:ascii="仿宋" w:hAnsi="仿宋" w:eastAsia="仿宋" w:cs="仿宋"/>
          <w:b/>
          <w:bCs/>
          <w:sz w:val="22"/>
          <w:szCs w:val="22"/>
        </w:rPr>
        <w:t>本表金额转换为万元时，因四舍五入可能存在尾差。</w:t>
      </w:r>
    </w:p>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2"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954" w:type="dxa"/>
        <w:tblInd w:w="-206" w:type="dxa"/>
        <w:tblLayout w:type="fixed"/>
        <w:tblCellMar>
          <w:top w:w="55" w:type="dxa"/>
          <w:left w:w="55" w:type="dxa"/>
          <w:bottom w:w="55" w:type="dxa"/>
          <w:right w:w="55" w:type="dxa"/>
        </w:tblCellMar>
      </w:tblPr>
      <w:tblGrid>
        <w:gridCol w:w="1114"/>
        <w:gridCol w:w="2777"/>
        <w:gridCol w:w="644"/>
        <w:gridCol w:w="1996"/>
        <w:gridCol w:w="2246"/>
        <w:gridCol w:w="2177"/>
      </w:tblGrid>
      <w:tr>
        <w:tblPrEx>
          <w:tblCellMar>
            <w:top w:w="55" w:type="dxa"/>
            <w:left w:w="55" w:type="dxa"/>
            <w:bottom w:w="55" w:type="dxa"/>
            <w:right w:w="55" w:type="dxa"/>
          </w:tblCellMar>
        </w:tblPrEx>
        <w:trPr>
          <w:trHeight w:val="319" w:hRule="atLeast"/>
        </w:trPr>
        <w:tc>
          <w:tcPr>
            <w:tcW w:w="10954" w:type="dxa"/>
            <w:gridSpan w:val="6"/>
          </w:tcPr>
          <w:p>
            <w:pPr>
              <w:pStyle w:val="22"/>
              <w:widowControl w:val="0"/>
              <w:jc w:val="center"/>
              <w:rPr>
                <w:rFonts w:hint="eastAsia" w:ascii="仿宋" w:hAnsi="仿宋" w:eastAsia="仿宋" w:cs="仿宋"/>
                <w:b/>
                <w:bCs/>
                <w:sz w:val="44"/>
                <w:szCs w:val="44"/>
              </w:rPr>
            </w:pPr>
            <w:r>
              <w:rPr>
                <w:rFonts w:hint="eastAsia" w:ascii="仿宋" w:hAnsi="仿宋" w:eastAsia="仿宋" w:cs="仿宋"/>
                <w:b/>
                <w:bCs/>
                <w:sz w:val="44"/>
                <w:szCs w:val="44"/>
              </w:rPr>
              <w:t>一般公共预算基本支出决算表（经济科目）</w:t>
            </w:r>
          </w:p>
        </w:tc>
      </w:tr>
      <w:tr>
        <w:tblPrEx>
          <w:tblCellMar>
            <w:top w:w="55" w:type="dxa"/>
            <w:left w:w="55" w:type="dxa"/>
            <w:bottom w:w="55" w:type="dxa"/>
            <w:right w:w="55" w:type="dxa"/>
          </w:tblCellMar>
        </w:tblPrEx>
        <w:trPr>
          <w:trHeight w:val="189" w:hRule="atLeast"/>
        </w:trPr>
        <w:tc>
          <w:tcPr>
            <w:tcW w:w="3891" w:type="dxa"/>
            <w:gridSpan w:val="2"/>
          </w:tcPr>
          <w:p>
            <w:pPr>
              <w:pStyle w:val="22"/>
              <w:widowControl w:val="0"/>
              <w:rPr>
                <w:rFonts w:hint="eastAsia" w:ascii="仿宋" w:hAnsi="仿宋" w:eastAsia="仿宋" w:cs="仿宋"/>
                <w:sz w:val="20"/>
              </w:rPr>
            </w:pPr>
          </w:p>
        </w:tc>
        <w:tc>
          <w:tcPr>
            <w:tcW w:w="644" w:type="dxa"/>
          </w:tcPr>
          <w:p>
            <w:pPr>
              <w:pStyle w:val="22"/>
              <w:widowControl w:val="0"/>
              <w:rPr>
                <w:rFonts w:hint="eastAsia" w:ascii="仿宋" w:hAnsi="仿宋" w:eastAsia="仿宋" w:cs="仿宋"/>
                <w:sz w:val="20"/>
              </w:rPr>
            </w:pPr>
          </w:p>
        </w:tc>
        <w:tc>
          <w:tcPr>
            <w:tcW w:w="4242" w:type="dxa"/>
            <w:gridSpan w:val="2"/>
          </w:tcPr>
          <w:p>
            <w:pPr>
              <w:pStyle w:val="22"/>
              <w:widowControl w:val="0"/>
              <w:rPr>
                <w:rFonts w:hint="eastAsia" w:ascii="仿宋" w:hAnsi="仿宋" w:eastAsia="仿宋" w:cs="仿宋"/>
                <w:sz w:val="20"/>
              </w:rPr>
            </w:pPr>
          </w:p>
        </w:tc>
        <w:tc>
          <w:tcPr>
            <w:tcW w:w="2177" w:type="dxa"/>
            <w:vAlign w:val="center"/>
          </w:tcPr>
          <w:p>
            <w:pPr>
              <w:pStyle w:val="22"/>
              <w:widowControl w:val="0"/>
              <w:jc w:val="right"/>
              <w:rPr>
                <w:rFonts w:hint="eastAsia" w:ascii="仿宋" w:hAnsi="仿宋" w:eastAsia="仿宋" w:cs="仿宋"/>
                <w:sz w:val="20"/>
              </w:rPr>
            </w:pPr>
            <w:r>
              <w:rPr>
                <w:rFonts w:hint="eastAsia" w:ascii="仿宋" w:hAnsi="仿宋" w:eastAsia="仿宋" w:cs="仿宋"/>
              </w:rPr>
              <w:t>公开08表</w:t>
            </w:r>
          </w:p>
        </w:tc>
      </w:tr>
      <w:tr>
        <w:tblPrEx>
          <w:tblCellMar>
            <w:top w:w="55" w:type="dxa"/>
            <w:left w:w="55" w:type="dxa"/>
            <w:bottom w:w="55" w:type="dxa"/>
            <w:right w:w="55" w:type="dxa"/>
          </w:tblCellMar>
        </w:tblPrEx>
        <w:trPr>
          <w:trHeight w:val="138" w:hRule="atLeast"/>
        </w:trPr>
        <w:tc>
          <w:tcPr>
            <w:tcW w:w="8777" w:type="dxa"/>
            <w:gridSpan w:val="5"/>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名称：</w:t>
            </w:r>
            <w:r>
              <w:rPr>
                <w:rFonts w:hint="eastAsia" w:ascii="仿宋" w:hAnsi="仿宋" w:eastAsia="仿宋" w:cs="仿宋"/>
              </w:rPr>
              <w:t>江苏省无锡交通高等职业技术学校</w:t>
            </w:r>
          </w:p>
        </w:tc>
        <w:tc>
          <w:tcPr>
            <w:tcW w:w="2177" w:type="dxa"/>
            <w:vAlign w:val="center"/>
          </w:tcPr>
          <w:p>
            <w:pPr>
              <w:pStyle w:val="22"/>
              <w:widowControl w:val="0"/>
              <w:jc w:val="right"/>
              <w:rPr>
                <w:rFonts w:hint="eastAsia" w:ascii="仿宋" w:hAnsi="仿宋" w:eastAsia="仿宋" w:cs="仿宋"/>
                <w:sz w:val="20"/>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180" w:hRule="atLeast"/>
        </w:trPr>
        <w:tc>
          <w:tcPr>
            <w:tcW w:w="3891"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7063" w:type="dxa"/>
            <w:gridSpan w:val="4"/>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一般公共预算财政拨款基本支出</w:t>
            </w:r>
          </w:p>
        </w:tc>
      </w:tr>
      <w:tr>
        <w:tblPrEx>
          <w:tblCellMar>
            <w:top w:w="55" w:type="dxa"/>
            <w:left w:w="55" w:type="dxa"/>
            <w:bottom w:w="55" w:type="dxa"/>
            <w:right w:w="55" w:type="dxa"/>
          </w:tblCellMar>
        </w:tblPrEx>
        <w:trPr>
          <w:trHeight w:val="474" w:hRule="atLeast"/>
        </w:trPr>
        <w:tc>
          <w:tcPr>
            <w:tcW w:w="1114"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经济分类科目编码</w:t>
            </w:r>
          </w:p>
        </w:tc>
        <w:tc>
          <w:tcPr>
            <w:tcW w:w="277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640"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246"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2177"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94" w:hRule="exact"/>
        </w:trPr>
        <w:tc>
          <w:tcPr>
            <w:tcW w:w="3891"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hint="eastAsia" w:ascii="仿宋" w:hAnsi="仿宋" w:eastAsia="仿宋" w:cs="仿宋"/>
              </w:rPr>
              <w:t>合计</w:t>
            </w:r>
          </w:p>
        </w:tc>
        <w:tc>
          <w:tcPr>
            <w:tcW w:w="2640" w:type="dxa"/>
            <w:gridSpan w:val="2"/>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8,752.29</w:t>
            </w:r>
          </w:p>
        </w:tc>
        <w:tc>
          <w:tcPr>
            <w:tcW w:w="2246"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7,216.95</w:t>
            </w:r>
          </w:p>
        </w:tc>
        <w:tc>
          <w:tcPr>
            <w:tcW w:w="217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1,535.34</w:t>
            </w:r>
          </w:p>
        </w:tc>
      </w:tr>
      <w:tr>
        <w:tblPrEx>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工资福利支出</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6,689.42</w:t>
            </w: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6,689.42</w:t>
            </w: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30101</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基本工资</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1,231.13</w:t>
            </w: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1,231.13</w:t>
            </w: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30102</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津贴补贴</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231.06</w:t>
            </w: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231.06</w:t>
            </w: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30103</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奖金</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30106</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伙食补助费</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71.69</w:t>
            </w: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71.69</w:t>
            </w: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30107</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绩效工资</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3,029.79</w:t>
            </w: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3,029.79</w:t>
            </w: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30108</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机关事业单位基本养老保险缴费</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549.60</w:t>
            </w: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549.60</w:t>
            </w: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30109</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职业年金缴费</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274.80</w:t>
            </w: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274.80</w:t>
            </w: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30110</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职工基本医疗保险缴费</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207.02</w:t>
            </w: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207.02</w:t>
            </w: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30111</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公务员医疗补助缴费</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30112</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其他社会保障缴费</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48.93</w:t>
            </w: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48.93</w:t>
            </w: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30113</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住房公积金</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30114</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医疗费</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30199</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其他工资福利支出</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1,045.41</w:t>
            </w: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1,045.41</w:t>
            </w: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1,496.44</w:t>
            </w: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1,496.44</w:t>
            </w:r>
          </w:p>
        </w:tc>
      </w:tr>
      <w:tr>
        <w:tblPrEx>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30201</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办公费</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15.81</w:t>
            </w: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15.81</w:t>
            </w:r>
          </w:p>
        </w:tc>
      </w:tr>
      <w:tr>
        <w:tblPrEx>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30202</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印刷费</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54.58</w:t>
            </w: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54.58</w:t>
            </w:r>
          </w:p>
        </w:tc>
      </w:tr>
      <w:tr>
        <w:tblPrEx>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30203</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咨询费</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4.00</w:t>
            </w: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4.00</w:t>
            </w:r>
          </w:p>
        </w:tc>
      </w:tr>
      <w:tr>
        <w:tblPrEx>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30204</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手续费</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1.01</w:t>
            </w: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1.01</w:t>
            </w:r>
          </w:p>
        </w:tc>
      </w:tr>
      <w:tr>
        <w:tblPrEx>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30205</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水费</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102.01</w:t>
            </w: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102.01</w:t>
            </w:r>
          </w:p>
        </w:tc>
      </w:tr>
      <w:tr>
        <w:tblPrEx>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30206</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电费</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159.72</w:t>
            </w: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159.72</w:t>
            </w:r>
          </w:p>
        </w:tc>
      </w:tr>
      <w:tr>
        <w:tblPrEx>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30207</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邮电费</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49.89</w:t>
            </w: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49.89</w:t>
            </w:r>
          </w:p>
        </w:tc>
      </w:tr>
      <w:tr>
        <w:tblPrEx>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30208</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取暖费</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30209</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物业管理费</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196.84</w:t>
            </w: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196.84</w:t>
            </w:r>
          </w:p>
        </w:tc>
      </w:tr>
      <w:tr>
        <w:tblPrEx>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30211</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差旅费</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42.07</w:t>
            </w: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42.07</w:t>
            </w:r>
          </w:p>
        </w:tc>
      </w:tr>
      <w:tr>
        <w:tblPrEx>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30212</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因公出国（境）费用</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30213</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维修（护）费</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30214</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租赁费</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30215</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会议费</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30216</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培训费</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30217</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公务接待费</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w:t>
            </w: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w:t>
            </w:r>
          </w:p>
        </w:tc>
      </w:tr>
      <w:tr>
        <w:tblPrEx>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30218</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专用材料费</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7.03</w:t>
            </w: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7.03</w:t>
            </w:r>
          </w:p>
        </w:tc>
      </w:tr>
      <w:tr>
        <w:tblPrEx>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30224</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被装购置费</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30225</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专用燃料费</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22.16</w:t>
            </w: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22.16</w:t>
            </w:r>
          </w:p>
        </w:tc>
      </w:tr>
      <w:tr>
        <w:tblPrEx>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30226</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劳务费</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244.79</w:t>
            </w: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244.79</w:t>
            </w:r>
          </w:p>
        </w:tc>
      </w:tr>
      <w:tr>
        <w:tblPrEx>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30227</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委托业务费</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r>
      <w:tr>
        <w:tblPrEx>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30228</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工会经费</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116.99</w:t>
            </w: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116.99</w:t>
            </w:r>
          </w:p>
        </w:tc>
      </w:tr>
      <w:tr>
        <w:tblPrEx>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30229</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福利费</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7.92</w:t>
            </w: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7.92</w:t>
            </w:r>
          </w:p>
        </w:tc>
      </w:tr>
      <w:tr>
        <w:tblPrEx>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30231</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公务用车运行维护费</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5.59</w:t>
            </w: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5.59</w:t>
            </w:r>
          </w:p>
        </w:tc>
      </w:tr>
      <w:tr>
        <w:tblPrEx>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30239</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其他交通费用</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24.98</w:t>
            </w: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24.98</w:t>
            </w:r>
          </w:p>
        </w:tc>
      </w:tr>
      <w:tr>
        <w:tblPrEx>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30240</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税金及附加费用</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30299</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其他商品和服务支出</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436.07</w:t>
            </w: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436.07</w:t>
            </w:r>
          </w:p>
        </w:tc>
      </w:tr>
      <w:tr>
        <w:tblPrEx>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对个人和家庭的补助</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527.52</w:t>
            </w: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527.52</w:t>
            </w: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30301</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离休费</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44.64</w:t>
            </w: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44.64</w:t>
            </w: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30302</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退休费</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308.69</w:t>
            </w: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308.69</w:t>
            </w: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30303</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退职（役）费</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30304</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抚恤金</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14.27</w:t>
            </w: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14.27</w:t>
            </w: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30305</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生活补助</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30306</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救济费</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30307</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医疗费补助</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37.94</w:t>
            </w: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37.94</w:t>
            </w: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30308</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助学金</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121.97</w:t>
            </w: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121.97</w:t>
            </w: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30309</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奖励金</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30310</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个人农业生产补贴</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30311</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代缴社会保险费</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30399</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其他对个人和家庭的补助</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债务利息及费用支出</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30701</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国内债务付息</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30702</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国外债务付息</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30703</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国内债务发行费用</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30704</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国外债务发行费用</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资本性支出</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38.91</w:t>
            </w: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38.91</w:t>
            </w:r>
          </w:p>
        </w:tc>
      </w:tr>
      <w:tr>
        <w:tblPrEx>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31001</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房屋建筑物购建</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31002</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办公设备购置</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38.91</w:t>
            </w: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38.91</w:t>
            </w:r>
          </w:p>
        </w:tc>
      </w:tr>
      <w:tr>
        <w:tblPrEx>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31003</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专用设备购置</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31005</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基础设施建设</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31006</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大型修缮</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31007</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信息网络及软件购置更新</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31008</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物资储备</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31009</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土地补偿</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31010</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安置补助</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31011</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地上附着物和青苗补偿</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31012</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拆迁补偿</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31013</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公务用车购置</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31019</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其他交通工具购置</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31021</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文物和陈列品购置</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31022</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无形资产购置</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31099</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其他资本性支出</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对企业补助</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31201</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资本金注入</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31203</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政府投资基金股权投资</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31204</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费用补贴</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31205</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利息补贴</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31299</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其他对企业补助</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其他支出</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39906</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赠与</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39907</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国家赔偿费用支出</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39908</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对民间非营利组织和群众性自治组织补贴</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39999</w:t>
            </w:r>
          </w:p>
        </w:tc>
        <w:tc>
          <w:tcPr>
            <w:tcW w:w="27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其他支出</w:t>
            </w:r>
          </w:p>
        </w:tc>
        <w:tc>
          <w:tcPr>
            <w:tcW w:w="2640"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24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1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spacing w:before="25" w:after="0"/>
        <w:ind w:left="-220" w:leftChars="-100" w:firstLine="0" w:firstLineChars="0"/>
        <w:rPr>
          <w:rFonts w:hint="eastAsia" w:ascii="仿宋" w:hAnsi="仿宋" w:eastAsia="仿宋" w:cs="仿宋"/>
          <w:b/>
          <w:bCs/>
          <w:sz w:val="22"/>
          <w:szCs w:val="22"/>
        </w:rPr>
      </w:pPr>
      <w:r>
        <w:rPr>
          <w:rFonts w:hint="eastAsia" w:ascii="仿宋" w:hAnsi="仿宋" w:eastAsia="仿宋" w:cs="仿宋"/>
          <w:b/>
          <w:bCs/>
          <w:sz w:val="22"/>
          <w:szCs w:val="22"/>
        </w:rPr>
        <w:t>注：1. 本表反映部门本年度按经济分类一般公共预算财政拨款基本支出明细情况。</w:t>
      </w:r>
    </w:p>
    <w:p>
      <w:pPr>
        <w:numPr>
          <w:ilvl w:val="0"/>
          <w:numId w:val="7"/>
        </w:numPr>
        <w:spacing w:before="25" w:after="0"/>
        <w:ind w:left="200" w:leftChars="0" w:firstLine="0" w:firstLineChars="0"/>
        <w:rPr>
          <w:rFonts w:hint="eastAsia" w:ascii="仿宋" w:hAnsi="仿宋" w:eastAsia="仿宋" w:cs="仿宋"/>
          <w:b/>
          <w:bCs/>
          <w:sz w:val="22"/>
          <w:szCs w:val="22"/>
        </w:rPr>
      </w:pPr>
      <w:r>
        <w:rPr>
          <w:rFonts w:hint="eastAsia" w:ascii="仿宋" w:hAnsi="仿宋" w:eastAsia="仿宋" w:cs="仿宋"/>
          <w:b/>
          <w:bCs/>
          <w:sz w:val="22"/>
          <w:szCs w:val="22"/>
        </w:rPr>
        <w:t>本表金额转换为万元时，因四舍五入可能存在尾差。</w:t>
      </w:r>
    </w:p>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3"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909" w:type="dxa"/>
        <w:tblInd w:w="-226" w:type="dxa"/>
        <w:tblLayout w:type="fixed"/>
        <w:tblCellMar>
          <w:top w:w="55" w:type="dxa"/>
          <w:left w:w="55" w:type="dxa"/>
          <w:bottom w:w="55" w:type="dxa"/>
          <w:right w:w="55" w:type="dxa"/>
        </w:tblCellMar>
      </w:tblPr>
      <w:tblGrid>
        <w:gridCol w:w="2471"/>
        <w:gridCol w:w="2332"/>
        <w:gridCol w:w="2037"/>
        <w:gridCol w:w="1697"/>
        <w:gridCol w:w="1680"/>
        <w:gridCol w:w="1852"/>
        <w:gridCol w:w="2057"/>
        <w:gridCol w:w="1783"/>
      </w:tblGrid>
      <w:tr>
        <w:tblPrEx>
          <w:tblCellMar>
            <w:top w:w="55" w:type="dxa"/>
            <w:left w:w="55" w:type="dxa"/>
            <w:bottom w:w="55" w:type="dxa"/>
            <w:right w:w="55" w:type="dxa"/>
          </w:tblCellMar>
        </w:tblPrEx>
        <w:trPr>
          <w:trHeight w:val="321" w:hRule="atLeast"/>
        </w:trPr>
        <w:tc>
          <w:tcPr>
            <w:tcW w:w="15909" w:type="dxa"/>
            <w:gridSpan w:val="8"/>
          </w:tcPr>
          <w:p>
            <w:pPr>
              <w:pStyle w:val="22"/>
              <w:widowControl w:val="0"/>
              <w:jc w:val="center"/>
              <w:rPr>
                <w:rFonts w:hint="eastAsia" w:ascii="仿宋" w:hAnsi="仿宋" w:eastAsia="仿宋" w:cs="仿宋"/>
                <w:b/>
                <w:bCs/>
                <w:sz w:val="44"/>
                <w:szCs w:val="44"/>
              </w:rPr>
            </w:pPr>
            <w:r>
              <w:rPr>
                <w:rFonts w:hint="eastAsia" w:ascii="仿宋" w:hAnsi="仿宋" w:eastAsia="仿宋" w:cs="仿宋"/>
                <w:b/>
                <w:bCs/>
                <w:sz w:val="44"/>
                <w:szCs w:val="44"/>
              </w:rPr>
              <w:t>一般公共预算“三公”经费、会议费、培训费支出决算表</w:t>
            </w:r>
          </w:p>
        </w:tc>
      </w:tr>
      <w:tr>
        <w:tblPrEx>
          <w:tblCellMar>
            <w:top w:w="55" w:type="dxa"/>
            <w:left w:w="55" w:type="dxa"/>
            <w:bottom w:w="55" w:type="dxa"/>
            <w:right w:w="55" w:type="dxa"/>
          </w:tblCellMar>
        </w:tblPrEx>
        <w:trPr>
          <w:trHeight w:val="207" w:hRule="atLeast"/>
        </w:trPr>
        <w:tc>
          <w:tcPr>
            <w:tcW w:w="12069" w:type="dxa"/>
            <w:gridSpan w:val="6"/>
          </w:tcPr>
          <w:p>
            <w:pPr>
              <w:pStyle w:val="22"/>
              <w:widowControl w:val="0"/>
              <w:rPr>
                <w:rFonts w:hint="eastAsia" w:ascii="仿宋" w:hAnsi="仿宋" w:eastAsia="仿宋" w:cs="仿宋"/>
                <w:sz w:val="20"/>
              </w:rPr>
            </w:pPr>
          </w:p>
        </w:tc>
        <w:tc>
          <w:tcPr>
            <w:tcW w:w="3840" w:type="dxa"/>
            <w:gridSpan w:val="2"/>
            <w:vAlign w:val="center"/>
          </w:tcPr>
          <w:p>
            <w:pPr>
              <w:pStyle w:val="22"/>
              <w:widowControl w:val="0"/>
              <w:jc w:val="right"/>
              <w:rPr>
                <w:rFonts w:hint="eastAsia" w:ascii="仿宋" w:hAnsi="仿宋" w:eastAsia="仿宋" w:cs="仿宋"/>
                <w:sz w:val="20"/>
              </w:rPr>
            </w:pPr>
            <w:r>
              <w:rPr>
                <w:rFonts w:hint="eastAsia" w:ascii="仿宋" w:hAnsi="仿宋" w:eastAsia="仿宋" w:cs="仿宋"/>
              </w:rPr>
              <w:t>公开09表</w:t>
            </w:r>
          </w:p>
        </w:tc>
      </w:tr>
      <w:tr>
        <w:tblPrEx>
          <w:tblCellMar>
            <w:top w:w="55" w:type="dxa"/>
            <w:left w:w="55" w:type="dxa"/>
            <w:bottom w:w="55" w:type="dxa"/>
            <w:right w:w="55" w:type="dxa"/>
          </w:tblCellMar>
        </w:tblPrEx>
        <w:trPr>
          <w:trHeight w:val="103" w:hRule="atLeast"/>
        </w:trPr>
        <w:tc>
          <w:tcPr>
            <w:tcW w:w="12069" w:type="dxa"/>
            <w:gridSpan w:val="6"/>
          </w:tcPr>
          <w:p>
            <w:pPr>
              <w:pStyle w:val="22"/>
              <w:widowControl w:val="0"/>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名称：</w:t>
            </w:r>
            <w:r>
              <w:rPr>
                <w:rFonts w:hint="eastAsia" w:ascii="仿宋" w:hAnsi="仿宋" w:eastAsia="仿宋" w:cs="仿宋"/>
              </w:rPr>
              <w:t>江苏省无锡交通高等职业技术学校</w:t>
            </w:r>
          </w:p>
        </w:tc>
        <w:tc>
          <w:tcPr>
            <w:tcW w:w="3840" w:type="dxa"/>
            <w:gridSpan w:val="2"/>
            <w:vAlign w:val="center"/>
          </w:tcPr>
          <w:p>
            <w:pPr>
              <w:pStyle w:val="22"/>
              <w:widowControl w:val="0"/>
              <w:jc w:val="right"/>
              <w:rPr>
                <w:rFonts w:hint="eastAsia" w:ascii="仿宋" w:hAnsi="仿宋" w:eastAsia="仿宋" w:cs="仿宋"/>
                <w:sz w:val="20"/>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179" w:hRule="atLeast"/>
        </w:trPr>
        <w:tc>
          <w:tcPr>
            <w:tcW w:w="12069" w:type="dxa"/>
            <w:gridSpan w:val="6"/>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w:t>
            </w:r>
          </w:p>
        </w:tc>
        <w:tc>
          <w:tcPr>
            <w:tcW w:w="2057" w:type="dxa"/>
            <w:vMerge w:val="restart"/>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会议费</w:t>
            </w:r>
          </w:p>
        </w:tc>
        <w:tc>
          <w:tcPr>
            <w:tcW w:w="1783" w:type="dxa"/>
            <w:vMerge w:val="restart"/>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培训费</w:t>
            </w:r>
          </w:p>
        </w:tc>
      </w:tr>
      <w:tr>
        <w:tblPrEx>
          <w:tblCellMar>
            <w:top w:w="55" w:type="dxa"/>
            <w:left w:w="55" w:type="dxa"/>
            <w:bottom w:w="55" w:type="dxa"/>
            <w:right w:w="55" w:type="dxa"/>
          </w:tblCellMar>
        </w:tblPrEx>
        <w:trPr>
          <w:trHeight w:val="297" w:hRule="atLeast"/>
        </w:trPr>
        <w:tc>
          <w:tcPr>
            <w:tcW w:w="2471" w:type="dxa"/>
            <w:vMerge w:val="restart"/>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“三公”经费合计</w:t>
            </w:r>
          </w:p>
        </w:tc>
        <w:tc>
          <w:tcPr>
            <w:tcW w:w="2332" w:type="dxa"/>
            <w:vMerge w:val="restart"/>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因公出国（境）费</w:t>
            </w:r>
          </w:p>
        </w:tc>
        <w:tc>
          <w:tcPr>
            <w:tcW w:w="5414" w:type="dxa"/>
            <w:gridSpan w:val="3"/>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公务用车购置及运行维护费</w:t>
            </w:r>
          </w:p>
        </w:tc>
        <w:tc>
          <w:tcPr>
            <w:tcW w:w="1852" w:type="dxa"/>
            <w:vMerge w:val="restart"/>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公务接待费</w:t>
            </w:r>
          </w:p>
        </w:tc>
        <w:tc>
          <w:tcPr>
            <w:tcW w:w="2057" w:type="dxa"/>
            <w:vMerge w:val="continue"/>
            <w:tcBorders>
              <w:left w:val="single" w:color="000000" w:sz="4" w:space="0"/>
              <w:bottom w:val="single" w:color="000000" w:sz="4" w:space="0"/>
            </w:tcBorders>
            <w:vAlign w:val="center"/>
          </w:tcPr>
          <w:p>
            <w:pPr>
              <w:widowControl w:val="0"/>
              <w:jc w:val="center"/>
              <w:rPr>
                <w:rFonts w:hint="eastAsia" w:ascii="仿宋" w:hAnsi="仿宋" w:eastAsia="仿宋" w:cs="仿宋"/>
                <w:sz w:val="20"/>
              </w:rPr>
            </w:pPr>
          </w:p>
        </w:tc>
        <w:tc>
          <w:tcPr>
            <w:tcW w:w="1783" w:type="dxa"/>
            <w:vMerge w:val="continue"/>
            <w:tcBorders>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sz w:val="20"/>
              </w:rPr>
            </w:pPr>
          </w:p>
        </w:tc>
      </w:tr>
      <w:tr>
        <w:tblPrEx>
          <w:tblCellMar>
            <w:top w:w="55" w:type="dxa"/>
            <w:left w:w="55" w:type="dxa"/>
            <w:bottom w:w="55" w:type="dxa"/>
            <w:right w:w="55" w:type="dxa"/>
          </w:tblCellMar>
        </w:tblPrEx>
        <w:trPr>
          <w:trHeight w:val="645" w:hRule="exact"/>
        </w:trPr>
        <w:tc>
          <w:tcPr>
            <w:tcW w:w="2471" w:type="dxa"/>
            <w:vMerge w:val="continue"/>
            <w:tcBorders>
              <w:left w:val="single" w:color="000000" w:sz="4" w:space="0"/>
              <w:bottom w:val="single" w:color="000000" w:sz="4" w:space="0"/>
            </w:tcBorders>
          </w:tcPr>
          <w:p>
            <w:pPr>
              <w:widowControl w:val="0"/>
              <w:jc w:val="left"/>
              <w:rPr>
                <w:rFonts w:hint="eastAsia" w:ascii="仿宋" w:hAnsi="仿宋" w:eastAsia="仿宋" w:cs="仿宋"/>
                <w:sz w:val="2"/>
                <w:szCs w:val="2"/>
              </w:rPr>
            </w:pPr>
          </w:p>
        </w:tc>
        <w:tc>
          <w:tcPr>
            <w:tcW w:w="2332" w:type="dxa"/>
            <w:vMerge w:val="continue"/>
            <w:tcBorders>
              <w:left w:val="single" w:color="000000" w:sz="4" w:space="0"/>
              <w:bottom w:val="single" w:color="000000" w:sz="4" w:space="0"/>
            </w:tcBorders>
          </w:tcPr>
          <w:p>
            <w:pPr>
              <w:widowControl w:val="0"/>
              <w:jc w:val="left"/>
              <w:rPr>
                <w:rFonts w:hint="eastAsia" w:ascii="仿宋" w:hAnsi="仿宋" w:eastAsia="仿宋" w:cs="仿宋"/>
                <w:sz w:val="2"/>
                <w:szCs w:val="2"/>
              </w:rPr>
            </w:pPr>
          </w:p>
        </w:tc>
        <w:tc>
          <w:tcPr>
            <w:tcW w:w="203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小计</w:t>
            </w:r>
          </w:p>
        </w:tc>
        <w:tc>
          <w:tcPr>
            <w:tcW w:w="169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公务用车购置费</w:t>
            </w:r>
          </w:p>
        </w:tc>
        <w:tc>
          <w:tcPr>
            <w:tcW w:w="168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公务用车运行</w:t>
            </w:r>
          </w:p>
          <w:p>
            <w:pPr>
              <w:pStyle w:val="22"/>
              <w:widowControl w:val="0"/>
              <w:jc w:val="center"/>
              <w:rPr>
                <w:rFonts w:hint="eastAsia" w:ascii="仿宋" w:hAnsi="仿宋" w:eastAsia="仿宋" w:cs="仿宋"/>
              </w:rPr>
            </w:pPr>
            <w:r>
              <w:rPr>
                <w:rFonts w:hint="eastAsia" w:ascii="仿宋" w:hAnsi="仿宋" w:eastAsia="仿宋" w:cs="仿宋"/>
              </w:rPr>
              <w:t>维护费</w:t>
            </w:r>
          </w:p>
        </w:tc>
        <w:tc>
          <w:tcPr>
            <w:tcW w:w="1852" w:type="dxa"/>
            <w:vMerge w:val="continue"/>
            <w:tcBorders>
              <w:left w:val="single" w:color="000000" w:sz="4" w:space="0"/>
              <w:bottom w:val="single" w:color="000000" w:sz="4" w:space="0"/>
            </w:tcBorders>
          </w:tcPr>
          <w:p>
            <w:pPr>
              <w:widowControl w:val="0"/>
              <w:jc w:val="left"/>
              <w:rPr>
                <w:rFonts w:hint="eastAsia" w:ascii="仿宋" w:hAnsi="仿宋" w:eastAsia="仿宋" w:cs="仿宋"/>
                <w:sz w:val="2"/>
                <w:szCs w:val="2"/>
              </w:rPr>
            </w:pPr>
          </w:p>
        </w:tc>
        <w:tc>
          <w:tcPr>
            <w:tcW w:w="2057" w:type="dxa"/>
            <w:vMerge w:val="continue"/>
            <w:tcBorders>
              <w:left w:val="single" w:color="000000" w:sz="4" w:space="0"/>
              <w:bottom w:val="single" w:color="000000" w:sz="4" w:space="0"/>
            </w:tcBorders>
          </w:tcPr>
          <w:p>
            <w:pPr>
              <w:widowControl w:val="0"/>
              <w:jc w:val="left"/>
              <w:rPr>
                <w:rFonts w:hint="eastAsia" w:ascii="仿宋" w:hAnsi="仿宋" w:eastAsia="仿宋" w:cs="仿宋"/>
                <w:sz w:val="2"/>
                <w:szCs w:val="2"/>
              </w:rPr>
            </w:pPr>
          </w:p>
        </w:tc>
        <w:tc>
          <w:tcPr>
            <w:tcW w:w="1783" w:type="dxa"/>
            <w:vMerge w:val="continue"/>
            <w:tcBorders>
              <w:left w:val="single" w:color="000000" w:sz="4" w:space="0"/>
              <w:bottom w:val="single" w:color="000000" w:sz="4" w:space="0"/>
              <w:right w:val="single" w:color="000000" w:sz="4" w:space="0"/>
            </w:tcBorders>
          </w:tcPr>
          <w:p>
            <w:pPr>
              <w:widowControl w:val="0"/>
              <w:jc w:val="left"/>
              <w:rPr>
                <w:rFonts w:hint="eastAsia" w:ascii="仿宋" w:hAnsi="仿宋" w:eastAsia="仿宋" w:cs="仿宋"/>
                <w:sz w:val="2"/>
                <w:szCs w:val="2"/>
              </w:rPr>
            </w:pPr>
          </w:p>
        </w:tc>
      </w:tr>
      <w:tr>
        <w:tblPrEx>
          <w:tblCellMar>
            <w:top w:w="55" w:type="dxa"/>
            <w:left w:w="55" w:type="dxa"/>
            <w:bottom w:w="55" w:type="dxa"/>
            <w:right w:w="55" w:type="dxa"/>
          </w:tblCellMar>
        </w:tblPrEx>
        <w:trPr>
          <w:cantSplit/>
          <w:trHeight w:val="165" w:hRule="atLeast"/>
        </w:trPr>
        <w:tc>
          <w:tcPr>
            <w:tcW w:w="2471"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8.59</w:t>
            </w:r>
          </w:p>
        </w:tc>
        <w:tc>
          <w:tcPr>
            <w:tcW w:w="2332"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w:t>
            </w:r>
          </w:p>
        </w:tc>
        <w:tc>
          <w:tcPr>
            <w:tcW w:w="203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5.59</w:t>
            </w:r>
          </w:p>
        </w:tc>
        <w:tc>
          <w:tcPr>
            <w:tcW w:w="169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w:t>
            </w:r>
          </w:p>
        </w:tc>
        <w:tc>
          <w:tcPr>
            <w:tcW w:w="168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5.59</w:t>
            </w:r>
          </w:p>
        </w:tc>
        <w:tc>
          <w:tcPr>
            <w:tcW w:w="1852"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w:t>
            </w:r>
          </w:p>
        </w:tc>
        <w:tc>
          <w:tcPr>
            <w:tcW w:w="205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w:t>
            </w:r>
          </w:p>
        </w:tc>
        <w:tc>
          <w:tcPr>
            <w:tcW w:w="1783"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w:t>
            </w:r>
          </w:p>
        </w:tc>
      </w:tr>
    </w:tbl>
    <w:p>
      <w:pPr>
        <w:spacing w:before="30" w:after="33"/>
        <w:ind w:left="376" w:firstLine="0"/>
        <w:rPr>
          <w:rFonts w:hint="eastAsia" w:ascii="仿宋" w:hAnsi="仿宋" w:eastAsia="仿宋" w:cs="仿宋"/>
          <w:sz w:val="22"/>
          <w:szCs w:val="22"/>
        </w:rPr>
      </w:pPr>
      <w:r>
        <w:rPr>
          <w:rFonts w:hint="eastAsia" w:ascii="仿宋" w:hAnsi="仿宋" w:eastAsia="仿宋" w:cs="仿宋"/>
          <w:sz w:val="22"/>
          <w:szCs w:val="22"/>
        </w:rPr>
        <w:t>相关统计数：</w:t>
      </w:r>
    </w:p>
    <w:tbl>
      <w:tblPr>
        <w:tblStyle w:val="12"/>
        <w:tblW w:w="12069" w:type="dxa"/>
        <w:tblInd w:w="-209" w:type="dxa"/>
        <w:tblLayout w:type="fixed"/>
        <w:tblCellMar>
          <w:top w:w="55" w:type="dxa"/>
          <w:left w:w="55" w:type="dxa"/>
          <w:bottom w:w="55" w:type="dxa"/>
          <w:right w:w="55" w:type="dxa"/>
        </w:tblCellMar>
      </w:tblPr>
      <w:tblGrid>
        <w:gridCol w:w="4299"/>
        <w:gridCol w:w="1976"/>
        <w:gridCol w:w="3908"/>
        <w:gridCol w:w="1886"/>
      </w:tblGrid>
      <w:tr>
        <w:tblPrEx>
          <w:tblCellMar>
            <w:top w:w="55" w:type="dxa"/>
            <w:left w:w="55" w:type="dxa"/>
            <w:bottom w:w="55" w:type="dxa"/>
            <w:right w:w="55" w:type="dxa"/>
          </w:tblCellMar>
        </w:tblPrEx>
        <w:trPr>
          <w:cantSplit/>
          <w:trHeight w:val="214" w:hRule="atLeast"/>
        </w:trPr>
        <w:tc>
          <w:tcPr>
            <w:tcW w:w="4299"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sz w:val="22"/>
                <w:szCs w:val="22"/>
              </w:rPr>
              <w:t/>
            </w:r>
            <w:r>
              <w:rPr>
                <w:rFonts w:ascii="仿宋" w:hAnsi="仿宋" w:cs="仿宋" w:eastAsia="仿宋"/>
                <w:sz w:val="22"/>
              </w:rPr>
              <w:t>项目</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sz w:val="22"/>
                <w:szCs w:val="22"/>
              </w:rPr>
              <w:t>统计数</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sz w:val="22"/>
                <w:szCs w:val="22"/>
              </w:rPr>
              <w:t>项目</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sz w:val="22"/>
                <w:szCs w:val="22"/>
              </w:rPr>
              <w:t>统计数</w:t>
            </w:r>
          </w:p>
        </w:tc>
      </w:tr>
      <w:tr>
        <w:tblPrEx>
          <w:tblCellMar>
            <w:top w:w="55" w:type="dxa"/>
            <w:left w:w="55" w:type="dxa"/>
            <w:bottom w:w="55" w:type="dxa"/>
            <w:right w:w="55" w:type="dxa"/>
          </w:tblCellMar>
        </w:tblPrEx>
        <w:trPr>
          <w:cantSplit/>
          <w:trHeight w:val="190" w:hRule="atLeast"/>
        </w:trPr>
        <w:tc>
          <w:tcPr>
            <w:tcW w:w="4299" w:type="dxa"/>
            <w:tcBorders>
              <w:top w:val="single" w:color="auto" w:sz="4" w:space="0"/>
              <w:left w:val="single" w:color="auto" w:sz="4" w:space="0"/>
              <w:bottom w:val="single" w:color="auto"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因公出国（境）团组数(个)</w:t>
            </w:r>
          </w:p>
        </w:tc>
        <w:tc>
          <w:tcPr>
            <w:tcW w:w="1976" w:type="dxa"/>
            <w:tcBorders>
              <w:top w:val="single" w:color="auto" w:sz="4" w:space="0"/>
              <w:left w:val="single" w:color="000000" w:sz="4" w:space="0"/>
              <w:bottom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w:t>
            </w:r>
          </w:p>
        </w:tc>
        <w:tc>
          <w:tcPr>
            <w:tcW w:w="3908" w:type="dxa"/>
            <w:tcBorders>
              <w:top w:val="single" w:color="auto" w:sz="4" w:space="0"/>
              <w:left w:val="single" w:color="000000" w:sz="4" w:space="0"/>
              <w:bottom w:val="single" w:color="auto"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因公出国（境）人次数(人)</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w:t>
            </w:r>
          </w:p>
        </w:tc>
      </w:tr>
      <w:tr>
        <w:tblPrEx>
          <w:tblCellMar>
            <w:top w:w="55" w:type="dxa"/>
            <w:left w:w="55" w:type="dxa"/>
            <w:bottom w:w="55" w:type="dxa"/>
            <w:right w:w="55" w:type="dxa"/>
          </w:tblCellMar>
        </w:tblPrEx>
        <w:trPr>
          <w:cantSplit/>
          <w:trHeight w:val="190" w:hRule="atLeast"/>
        </w:trPr>
        <w:tc>
          <w:tcPr>
            <w:tcW w:w="4299" w:type="dxa"/>
            <w:tcBorders>
              <w:top w:val="single" w:color="auto" w:sz="4" w:space="0"/>
              <w:left w:val="single" w:color="auto" w:sz="4" w:space="0"/>
              <w:bottom w:val="single" w:color="auto"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公务用车购置数(辆)</w:t>
            </w:r>
          </w:p>
        </w:tc>
        <w:tc>
          <w:tcPr>
            <w:tcW w:w="1976" w:type="dxa"/>
            <w:tcBorders>
              <w:top w:val="single" w:color="auto" w:sz="4" w:space="0"/>
              <w:left w:val="single" w:color="000000" w:sz="4" w:space="0"/>
              <w:bottom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w:t>
            </w:r>
          </w:p>
        </w:tc>
        <w:tc>
          <w:tcPr>
            <w:tcW w:w="3908" w:type="dxa"/>
            <w:tcBorders>
              <w:top w:val="single" w:color="auto" w:sz="4" w:space="0"/>
              <w:left w:val="single" w:color="000000" w:sz="4" w:space="0"/>
              <w:bottom w:val="single" w:color="auto"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公务用车保有量(辆)</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w:t>
            </w:r>
          </w:p>
        </w:tc>
      </w:tr>
      <w:tr>
        <w:tblPrEx>
          <w:tblCellMar>
            <w:top w:w="55" w:type="dxa"/>
            <w:left w:w="55" w:type="dxa"/>
            <w:bottom w:w="55" w:type="dxa"/>
            <w:right w:w="55" w:type="dxa"/>
          </w:tblCellMar>
        </w:tblPrEx>
        <w:trPr>
          <w:cantSplit/>
          <w:trHeight w:val="190" w:hRule="atLeast"/>
        </w:trPr>
        <w:tc>
          <w:tcPr>
            <w:tcW w:w="4299" w:type="dxa"/>
            <w:tcBorders>
              <w:top w:val="single" w:color="auto" w:sz="4" w:space="0"/>
              <w:left w:val="single" w:color="auto" w:sz="4" w:space="0"/>
              <w:bottom w:val="single" w:color="auto"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国内公务接待批次(个)</w:t>
            </w:r>
          </w:p>
        </w:tc>
        <w:tc>
          <w:tcPr>
            <w:tcW w:w="1976" w:type="dxa"/>
            <w:tcBorders>
              <w:top w:val="single" w:color="auto" w:sz="4" w:space="0"/>
              <w:left w:val="single" w:color="000000" w:sz="4" w:space="0"/>
              <w:bottom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w:t>
            </w:r>
          </w:p>
        </w:tc>
        <w:tc>
          <w:tcPr>
            <w:tcW w:w="3908" w:type="dxa"/>
            <w:tcBorders>
              <w:top w:val="single" w:color="auto" w:sz="4" w:space="0"/>
              <w:left w:val="single" w:color="000000" w:sz="4" w:space="0"/>
              <w:bottom w:val="single" w:color="auto"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国内公务接待人次(人)</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244</w:t>
            </w:r>
          </w:p>
        </w:tc>
      </w:tr>
      <w:tr>
        <w:tblPrEx>
          <w:tblCellMar>
            <w:top w:w="55" w:type="dxa"/>
            <w:left w:w="55" w:type="dxa"/>
            <w:bottom w:w="55" w:type="dxa"/>
            <w:right w:w="55" w:type="dxa"/>
          </w:tblCellMar>
        </w:tblPrEx>
        <w:trPr>
          <w:cantSplit/>
          <w:trHeight w:val="190" w:hRule="atLeast"/>
        </w:trPr>
        <w:tc>
          <w:tcPr>
            <w:tcW w:w="4299" w:type="dxa"/>
            <w:tcBorders>
              <w:top w:val="single" w:color="auto" w:sz="4" w:space="0"/>
              <w:left w:val="single" w:color="auto" w:sz="4" w:space="0"/>
              <w:bottom w:val="single" w:color="auto"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国（境）外公务接待批次(个)</w:t>
            </w:r>
          </w:p>
        </w:tc>
        <w:tc>
          <w:tcPr>
            <w:tcW w:w="1976" w:type="dxa"/>
            <w:tcBorders>
              <w:top w:val="single" w:color="auto" w:sz="4" w:space="0"/>
              <w:left w:val="single" w:color="000000" w:sz="4" w:space="0"/>
              <w:bottom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w:t>
            </w:r>
          </w:p>
        </w:tc>
        <w:tc>
          <w:tcPr>
            <w:tcW w:w="3908" w:type="dxa"/>
            <w:tcBorders>
              <w:top w:val="single" w:color="auto" w:sz="4" w:space="0"/>
              <w:left w:val="single" w:color="000000" w:sz="4" w:space="0"/>
              <w:bottom w:val="single" w:color="auto"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国（境）外公务接待人次(人)</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w:t>
            </w:r>
          </w:p>
        </w:tc>
      </w:tr>
      <w:tr>
        <w:tblPrEx>
          <w:tblCellMar>
            <w:top w:w="55" w:type="dxa"/>
            <w:left w:w="55" w:type="dxa"/>
            <w:bottom w:w="55" w:type="dxa"/>
            <w:right w:w="55" w:type="dxa"/>
          </w:tblCellMar>
        </w:tblPrEx>
        <w:trPr>
          <w:cantSplit/>
          <w:trHeight w:val="190" w:hRule="atLeast"/>
        </w:trPr>
        <w:tc>
          <w:tcPr>
            <w:tcW w:w="4299" w:type="dxa"/>
            <w:tcBorders>
              <w:top w:val="single" w:color="auto" w:sz="4" w:space="0"/>
              <w:left w:val="single" w:color="auto" w:sz="4" w:space="0"/>
              <w:bottom w:val="single" w:color="auto"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召开会议次数(个)</w:t>
            </w:r>
          </w:p>
        </w:tc>
        <w:tc>
          <w:tcPr>
            <w:tcW w:w="1976" w:type="dxa"/>
            <w:tcBorders>
              <w:top w:val="single" w:color="auto" w:sz="4" w:space="0"/>
              <w:left w:val="single" w:color="000000" w:sz="4" w:space="0"/>
              <w:bottom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w:t>
            </w:r>
          </w:p>
        </w:tc>
        <w:tc>
          <w:tcPr>
            <w:tcW w:w="3908" w:type="dxa"/>
            <w:tcBorders>
              <w:top w:val="single" w:color="auto" w:sz="4" w:space="0"/>
              <w:left w:val="single" w:color="000000" w:sz="4" w:space="0"/>
              <w:bottom w:val="single" w:color="auto"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参加会议人次(人)</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w:t>
            </w:r>
          </w:p>
        </w:tc>
      </w:tr>
      <w:tr>
        <w:tblPrEx>
          <w:tblCellMar>
            <w:top w:w="55" w:type="dxa"/>
            <w:left w:w="55" w:type="dxa"/>
            <w:bottom w:w="55" w:type="dxa"/>
            <w:right w:w="55" w:type="dxa"/>
          </w:tblCellMar>
        </w:tblPrEx>
        <w:trPr>
          <w:cantSplit/>
          <w:trHeight w:val="190" w:hRule="atLeast"/>
        </w:trPr>
        <w:tc>
          <w:tcPr>
            <w:tcW w:w="4299" w:type="dxa"/>
            <w:tcBorders>
              <w:top w:val="single" w:color="auto" w:sz="4" w:space="0"/>
              <w:left w:val="single" w:color="auto" w:sz="4" w:space="0"/>
              <w:bottom w:val="single" w:color="auto"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组织培训次数(个)</w:t>
            </w:r>
          </w:p>
        </w:tc>
        <w:tc>
          <w:tcPr>
            <w:tcW w:w="1976" w:type="dxa"/>
            <w:tcBorders>
              <w:top w:val="single" w:color="auto" w:sz="4" w:space="0"/>
              <w:left w:val="single" w:color="000000" w:sz="4" w:space="0"/>
              <w:bottom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w:t>
            </w:r>
          </w:p>
        </w:tc>
        <w:tc>
          <w:tcPr>
            <w:tcW w:w="3908" w:type="dxa"/>
            <w:tcBorders>
              <w:top w:val="single" w:color="auto" w:sz="4" w:space="0"/>
              <w:left w:val="single" w:color="000000" w:sz="4" w:space="0"/>
              <w:bottom w:val="single" w:color="auto"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参加培训人次(人)</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w:t>
            </w:r>
          </w:p>
        </w:tc>
      </w:tr>
    </w:tbl>
    <w:p>
      <w:pPr>
        <w:widowControl w:val="0"/>
        <w:suppressAutoHyphens/>
        <w:bidi w:val="0"/>
        <w:spacing w:before="0" w:after="0"/>
        <w:ind w:left="-220" w:leftChars="0" w:right="0" w:firstLine="0" w:firstLineChars="0"/>
        <w:jc w:val="left"/>
        <w:rPr>
          <w:rFonts w:hint="eastAsia" w:ascii="仿宋" w:hAnsi="仿宋" w:eastAsia="仿宋" w:cs="仿宋"/>
          <w:b/>
          <w:bCs/>
          <w:sz w:val="22"/>
          <w:szCs w:val="22"/>
        </w:rPr>
      </w:pPr>
      <w:r>
        <w:rPr>
          <w:rFonts w:hint="eastAsia" w:ascii="仿宋" w:hAnsi="仿宋" w:eastAsia="仿宋" w:cs="仿宋"/>
          <w:b/>
          <w:bCs/>
          <w:sz w:val="22"/>
          <w:szCs w:val="22"/>
        </w:rPr>
        <w:t>注：</w:t>
      </w:r>
      <w:r>
        <w:rPr>
          <w:rFonts w:hint="eastAsia" w:ascii="仿宋" w:hAnsi="仿宋" w:eastAsia="仿宋" w:cs="仿宋"/>
          <w:b/>
          <w:bCs/>
          <w:sz w:val="22"/>
          <w:szCs w:val="22"/>
          <w:lang w:val="en-US" w:eastAsia="zh-CN"/>
        </w:rPr>
        <w:t>1.</w:t>
      </w:r>
      <w:r>
        <w:rPr>
          <w:rFonts w:hint="eastAsia" w:ascii="仿宋" w:hAnsi="仿宋" w:eastAsia="仿宋" w:cs="仿宋"/>
          <w:b/>
          <w:bCs/>
          <w:sz w:val="22"/>
          <w:szCs w:val="22"/>
        </w:rPr>
        <w:t>“三公”经费、会议费、培训费详细支出情况见支出情况说明。</w:t>
      </w:r>
    </w:p>
    <w:p>
      <w:pPr>
        <w:widowControl w:val="0"/>
        <w:numPr>
          <w:ilvl w:val="0"/>
          <w:numId w:val="8"/>
        </w:numPr>
        <w:suppressAutoHyphens/>
        <w:bidi w:val="0"/>
        <w:spacing w:before="0" w:after="0"/>
        <w:ind w:left="200" w:leftChars="0" w:right="0" w:firstLine="0" w:firstLineChars="0"/>
        <w:jc w:val="left"/>
        <w:rPr>
          <w:rFonts w:hint="eastAsia" w:ascii="仿宋" w:hAnsi="仿宋" w:eastAsia="仿宋" w:cs="仿宋"/>
          <w:b/>
          <w:bCs/>
          <w:sz w:val="22"/>
          <w:szCs w:val="22"/>
        </w:rPr>
      </w:pPr>
      <w:r>
        <w:rPr>
          <w:rFonts w:hint="eastAsia" w:ascii="仿宋" w:hAnsi="仿宋" w:eastAsia="仿宋" w:cs="仿宋"/>
          <w:b/>
          <w:bCs/>
          <w:sz w:val="22"/>
          <w:szCs w:val="22"/>
        </w:rPr>
        <w:t>本表金额转换为万元时，因四舍五入可能存在尾差。</w:t>
      </w:r>
    </w:p>
    <w:p>
      <w:pPr>
        <w:widowControl w:val="0"/>
        <w:suppressAutoHyphens/>
        <w:bidi w:val="0"/>
        <w:spacing w:before="0" w:after="0"/>
        <w:ind w:left="227" w:right="0" w:firstLine="221" w:firstLineChars="100"/>
        <w:jc w:val="left"/>
        <w:rPr>
          <w:rFonts w:hint="eastAsia" w:ascii="仿宋" w:hAnsi="仿宋" w:eastAsia="仿宋" w:cs="仿宋"/>
          <w:b/>
          <w:bCs/>
          <w:sz w:val="22"/>
          <w:szCs w:val="22"/>
        </w:rPr>
        <w:sectPr>
          <w:footerReference r:id="rId14"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772" w:type="dxa"/>
        <w:tblInd w:w="-106" w:type="dxa"/>
        <w:tblLayout w:type="fixed"/>
        <w:tblCellMar>
          <w:top w:w="55" w:type="dxa"/>
          <w:left w:w="55" w:type="dxa"/>
          <w:bottom w:w="55" w:type="dxa"/>
          <w:right w:w="55" w:type="dxa"/>
        </w:tblCellMar>
      </w:tblPr>
      <w:tblGrid>
        <w:gridCol w:w="1466"/>
        <w:gridCol w:w="2511"/>
        <w:gridCol w:w="2092"/>
        <w:gridCol w:w="2331"/>
        <w:gridCol w:w="1869"/>
        <w:gridCol w:w="1577"/>
        <w:gridCol w:w="1646"/>
        <w:gridCol w:w="2280"/>
      </w:tblGrid>
      <w:tr>
        <w:tblPrEx>
          <w:tblCellMar>
            <w:top w:w="55" w:type="dxa"/>
            <w:left w:w="55" w:type="dxa"/>
            <w:bottom w:w="55" w:type="dxa"/>
            <w:right w:w="55" w:type="dxa"/>
          </w:tblCellMar>
        </w:tblPrEx>
        <w:trPr>
          <w:trHeight w:val="395" w:hRule="atLeast"/>
        </w:trPr>
        <w:tc>
          <w:tcPr>
            <w:tcW w:w="15772" w:type="dxa"/>
            <w:gridSpan w:val="8"/>
            <w:vAlign w:val="center"/>
          </w:tcPr>
          <w:p>
            <w:pPr>
              <w:pStyle w:val="22"/>
              <w:widowControl w:val="0"/>
              <w:jc w:val="center"/>
              <w:rPr>
                <w:rFonts w:hint="eastAsia" w:ascii="仿宋" w:hAnsi="仿宋" w:eastAsia="仿宋" w:cs="仿宋"/>
                <w:b/>
                <w:bCs/>
                <w:sz w:val="44"/>
                <w:szCs w:val="44"/>
              </w:rPr>
            </w:pPr>
            <w:r>
              <w:rPr>
                <w:rFonts w:hint="eastAsia" w:ascii="仿宋" w:hAnsi="仿宋" w:eastAsia="仿宋" w:cs="仿宋"/>
                <w:b/>
                <w:bCs/>
                <w:sz w:val="44"/>
                <w:szCs w:val="44"/>
              </w:rPr>
              <w:t>政府性基金预算收入支出决算表</w:t>
            </w:r>
          </w:p>
        </w:tc>
      </w:tr>
      <w:tr>
        <w:tblPrEx>
          <w:tblCellMar>
            <w:top w:w="55" w:type="dxa"/>
            <w:left w:w="55" w:type="dxa"/>
            <w:bottom w:w="55" w:type="dxa"/>
            <w:right w:w="55" w:type="dxa"/>
          </w:tblCellMar>
        </w:tblPrEx>
        <w:trPr>
          <w:trHeight w:val="323" w:hRule="atLeast"/>
        </w:trPr>
        <w:tc>
          <w:tcPr>
            <w:tcW w:w="3977" w:type="dxa"/>
            <w:gridSpan w:val="2"/>
          </w:tcPr>
          <w:p>
            <w:pPr>
              <w:pStyle w:val="22"/>
              <w:widowControl w:val="0"/>
              <w:rPr>
                <w:rFonts w:hint="eastAsia" w:ascii="仿宋" w:hAnsi="仿宋" w:eastAsia="仿宋" w:cs="仿宋"/>
                <w:sz w:val="20"/>
              </w:rPr>
            </w:pPr>
          </w:p>
        </w:tc>
        <w:tc>
          <w:tcPr>
            <w:tcW w:w="2092" w:type="dxa"/>
          </w:tcPr>
          <w:p>
            <w:pPr>
              <w:pStyle w:val="22"/>
              <w:widowControl w:val="0"/>
              <w:rPr>
                <w:rFonts w:hint="eastAsia" w:ascii="仿宋" w:hAnsi="仿宋" w:eastAsia="仿宋" w:cs="仿宋"/>
                <w:sz w:val="27"/>
              </w:rPr>
            </w:pPr>
          </w:p>
        </w:tc>
        <w:tc>
          <w:tcPr>
            <w:tcW w:w="2331" w:type="dxa"/>
          </w:tcPr>
          <w:p>
            <w:pPr>
              <w:pStyle w:val="22"/>
              <w:widowControl w:val="0"/>
              <w:rPr>
                <w:rFonts w:hint="eastAsia" w:ascii="仿宋" w:hAnsi="仿宋" w:eastAsia="仿宋" w:cs="仿宋"/>
                <w:sz w:val="27"/>
              </w:rPr>
            </w:pPr>
          </w:p>
        </w:tc>
        <w:tc>
          <w:tcPr>
            <w:tcW w:w="5092" w:type="dxa"/>
            <w:gridSpan w:val="3"/>
          </w:tcPr>
          <w:p>
            <w:pPr>
              <w:pStyle w:val="22"/>
              <w:widowControl w:val="0"/>
              <w:rPr>
                <w:rFonts w:hint="eastAsia" w:ascii="仿宋" w:hAnsi="仿宋" w:eastAsia="仿宋" w:cs="仿宋"/>
                <w:sz w:val="20"/>
              </w:rPr>
            </w:pPr>
          </w:p>
        </w:tc>
        <w:tc>
          <w:tcPr>
            <w:tcW w:w="2280"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公开10表</w:t>
            </w:r>
          </w:p>
        </w:tc>
      </w:tr>
      <w:tr>
        <w:tblPrEx>
          <w:tblCellMar>
            <w:top w:w="55" w:type="dxa"/>
            <w:left w:w="55" w:type="dxa"/>
            <w:bottom w:w="55" w:type="dxa"/>
            <w:right w:w="55" w:type="dxa"/>
          </w:tblCellMar>
        </w:tblPrEx>
        <w:trPr>
          <w:trHeight w:val="138" w:hRule="atLeast"/>
        </w:trPr>
        <w:tc>
          <w:tcPr>
            <w:tcW w:w="13492" w:type="dxa"/>
            <w:gridSpan w:val="7"/>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名称：</w:t>
            </w:r>
            <w:r>
              <w:rPr>
                <w:rFonts w:hint="eastAsia" w:ascii="仿宋" w:hAnsi="仿宋" w:eastAsia="仿宋" w:cs="仿宋"/>
              </w:rPr>
              <w:t>江苏省无锡交通高等职业技术学校</w:t>
            </w:r>
          </w:p>
        </w:tc>
        <w:tc>
          <w:tcPr>
            <w:tcW w:w="2280"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213" w:hRule="atLeast"/>
        </w:trPr>
        <w:tc>
          <w:tcPr>
            <w:tcW w:w="3977"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2092" w:type="dxa"/>
            <w:vMerge w:val="restart"/>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年初结转和结余</w:t>
            </w:r>
          </w:p>
        </w:tc>
        <w:tc>
          <w:tcPr>
            <w:tcW w:w="2331" w:type="dxa"/>
            <w:vMerge w:val="restart"/>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本年收入</w:t>
            </w:r>
          </w:p>
        </w:tc>
        <w:tc>
          <w:tcPr>
            <w:tcW w:w="5092" w:type="dxa"/>
            <w:gridSpan w:val="3"/>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本年支出</w:t>
            </w:r>
          </w:p>
        </w:tc>
        <w:tc>
          <w:tcPr>
            <w:tcW w:w="2280" w:type="dxa"/>
            <w:vMerge w:val="restart"/>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年末结转和结余</w:t>
            </w:r>
          </w:p>
        </w:tc>
      </w:tr>
      <w:tr>
        <w:tblPrEx>
          <w:tblCellMar>
            <w:top w:w="55" w:type="dxa"/>
            <w:left w:w="55" w:type="dxa"/>
            <w:bottom w:w="55" w:type="dxa"/>
            <w:right w:w="55" w:type="dxa"/>
          </w:tblCellMar>
        </w:tblPrEx>
        <w:trPr>
          <w:trHeight w:val="528" w:hRule="atLeast"/>
        </w:trPr>
        <w:tc>
          <w:tcPr>
            <w:tcW w:w="1466"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功能分类</w:t>
            </w:r>
          </w:p>
          <w:p>
            <w:pPr>
              <w:pStyle w:val="22"/>
              <w:widowControl w:val="0"/>
              <w:jc w:val="center"/>
              <w:rPr>
                <w:rFonts w:hint="eastAsia" w:ascii="仿宋" w:hAnsi="仿宋" w:eastAsia="仿宋" w:cs="仿宋"/>
              </w:rPr>
            </w:pPr>
            <w:r>
              <w:rPr>
                <w:rFonts w:hint="eastAsia" w:ascii="仿宋" w:hAnsi="仿宋" w:eastAsia="仿宋" w:cs="仿宋"/>
              </w:rPr>
              <w:t>科目编码</w:t>
            </w:r>
          </w:p>
        </w:tc>
        <w:tc>
          <w:tcPr>
            <w:tcW w:w="251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092"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2331"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1869"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小计</w:t>
            </w:r>
          </w:p>
        </w:tc>
        <w:tc>
          <w:tcPr>
            <w:tcW w:w="157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1646"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c>
          <w:tcPr>
            <w:tcW w:w="2280" w:type="dxa"/>
            <w:vMerge w:val="continue"/>
            <w:tcBorders>
              <w:left w:val="single" w:color="000000" w:sz="4" w:space="0"/>
              <w:bottom w:val="single" w:color="000000" w:sz="4" w:space="0"/>
              <w:right w:val="single" w:color="000000" w:sz="4" w:space="0"/>
            </w:tcBorders>
          </w:tcPr>
          <w:p>
            <w:pPr>
              <w:widowControl w:val="0"/>
              <w:jc w:val="left"/>
              <w:rPr>
                <w:rFonts w:hint="eastAsia" w:ascii="仿宋" w:hAnsi="仿宋" w:eastAsia="仿宋" w:cs="仿宋"/>
              </w:rPr>
            </w:pPr>
          </w:p>
        </w:tc>
      </w:tr>
      <w:tr>
        <w:tblPrEx>
          <w:tblCellMar>
            <w:top w:w="55" w:type="dxa"/>
            <w:left w:w="55" w:type="dxa"/>
            <w:bottom w:w="55" w:type="dxa"/>
            <w:right w:w="55" w:type="dxa"/>
          </w:tblCellMar>
        </w:tblPrEx>
        <w:trPr>
          <w:trHeight w:val="275" w:hRule="atLeast"/>
        </w:trPr>
        <w:tc>
          <w:tcPr>
            <w:tcW w:w="3977"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栏次</w:t>
            </w:r>
          </w:p>
        </w:tc>
        <w:tc>
          <w:tcPr>
            <w:tcW w:w="209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xml:space="preserve">  1</w:t>
            </w:r>
          </w:p>
        </w:tc>
        <w:tc>
          <w:tcPr>
            <w:tcW w:w="233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xml:space="preserve">  2</w:t>
            </w:r>
          </w:p>
        </w:tc>
        <w:tc>
          <w:tcPr>
            <w:tcW w:w="1869"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3</w:t>
            </w:r>
          </w:p>
        </w:tc>
        <w:tc>
          <w:tcPr>
            <w:tcW w:w="157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4</w:t>
            </w:r>
          </w:p>
        </w:tc>
        <w:tc>
          <w:tcPr>
            <w:tcW w:w="1646"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5</w:t>
            </w:r>
          </w:p>
        </w:tc>
        <w:tc>
          <w:tcPr>
            <w:tcW w:w="2280"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xml:space="preserve">  6</w:t>
            </w:r>
          </w:p>
        </w:tc>
      </w:tr>
      <w:tr>
        <w:tblPrEx>
          <w:tblCellMar>
            <w:top w:w="55" w:type="dxa"/>
            <w:left w:w="55" w:type="dxa"/>
            <w:bottom w:w="55" w:type="dxa"/>
            <w:right w:w="55" w:type="dxa"/>
          </w:tblCellMar>
        </w:tblPrEx>
        <w:trPr>
          <w:trHeight w:val="407" w:hRule="exact"/>
        </w:trPr>
        <w:tc>
          <w:tcPr>
            <w:tcW w:w="3977"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hint="eastAsia" w:ascii="仿宋" w:hAnsi="仿宋" w:eastAsia="仿宋" w:cs="仿宋"/>
              </w:rPr>
              <w:t>合计</w:t>
            </w:r>
          </w:p>
        </w:tc>
        <w:tc>
          <w:tcPr>
            <w:tcW w:w="2092"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331"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69"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46"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28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spacing w:before="25" w:after="0"/>
        <w:ind w:left="-220" w:leftChars="-100" w:firstLine="0" w:firstLineChars="0"/>
        <w:rPr>
          <w:rFonts w:hint="eastAsia" w:ascii="仿宋" w:hAnsi="仿宋" w:eastAsia="仿宋" w:cs="仿宋"/>
          <w:b/>
          <w:bCs/>
          <w:sz w:val="22"/>
          <w:szCs w:val="22"/>
        </w:rPr>
      </w:pPr>
      <w:r>
        <w:rPr>
          <w:rFonts w:hint="eastAsia" w:ascii="仿宋" w:hAnsi="仿宋" w:eastAsia="仿宋" w:cs="仿宋"/>
          <w:b/>
          <w:bCs/>
          <w:sz w:val="22"/>
          <w:szCs w:val="22"/>
        </w:rPr>
        <w:t>注：1. 本表反映部门本年度按功能分类政府性基金预算财政拨款收支及结转和结余情况。</w:t>
      </w:r>
    </w:p>
    <w:p>
      <w:pPr>
        <w:numPr>
          <w:ilvl w:val="0"/>
          <w:numId w:val="9"/>
        </w:numPr>
        <w:spacing w:before="25" w:after="0"/>
        <w:ind w:left="200" w:leftChars="0" w:firstLine="0" w:firstLineChars="0"/>
        <w:rPr>
          <w:rFonts w:hint="eastAsia" w:ascii="仿宋" w:hAnsi="仿宋" w:eastAsia="仿宋" w:cs="仿宋"/>
          <w:b/>
          <w:bCs/>
          <w:sz w:val="22"/>
          <w:szCs w:val="22"/>
        </w:rPr>
      </w:pPr>
      <w:r>
        <w:rPr>
          <w:rFonts w:hint="eastAsia" w:ascii="仿宋" w:hAnsi="仿宋" w:eastAsia="仿宋" w:cs="仿宋"/>
          <w:b/>
          <w:bCs/>
          <w:sz w:val="22"/>
          <w:szCs w:val="22"/>
        </w:rPr>
        <w:t>本表金额转换为万元时，因四舍五入可能存在尾差。</w:t>
      </w:r>
    </w:p>
    <w:p>
      <w:pPr>
        <w:numPr>
          <w:ilvl w:val="0"/>
          <w:numId w:val="9"/>
        </w:numPr>
        <w:spacing w:before="25" w:after="0"/>
        <w:ind w:left="200" w:leftChars="0" w:firstLine="0" w:firstLineChars="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
      </w:r>
      <w:r>
        <w:rPr>
          <w:rFonts w:ascii="仿宋" w:hAnsi="仿宋" w:cs="仿宋" w:eastAsia="仿宋"/>
          <w:b w:val="true"/>
          <w:sz w:val="22"/>
        </w:rPr>
        <w:t>本</w:t>
      </w:r>
      <w:r>
        <w:rPr>
          <w:rFonts w:ascii="仿宋" w:hAnsi="仿宋" w:cs="仿宋" w:eastAsia="仿宋"/>
          <w:b w:val="true"/>
          <w:sz w:val="22"/>
        </w:rPr>
        <w:t>单位</w:t>
      </w:r>
      <w:r>
        <w:rPr>
          <w:rFonts w:ascii="仿宋" w:hAnsi="仿宋" w:cs="仿宋" w:eastAsia="仿宋"/>
          <w:b w:val="true"/>
          <w:sz w:val="22"/>
        </w:rPr>
        <w:t>无政府性基金预算收入支出决算，故本表为空。</w:t>
      </w:r>
      <w:r>
        <w:rPr>
          <w:rFonts w:ascii="仿宋" w:hAnsi="仿宋" w:cs="仿宋" w:eastAsia="仿宋"/>
          <w:b w:val="true"/>
          <w:sz w:val="22"/>
        </w:rPr>
        <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footerReference r:id="rId15"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235" w:type="dxa"/>
        <w:tblInd w:w="-403" w:type="dxa"/>
        <w:tblLayout w:type="fixed"/>
        <w:tblCellMar>
          <w:top w:w="55" w:type="dxa"/>
          <w:left w:w="55" w:type="dxa"/>
          <w:bottom w:w="55" w:type="dxa"/>
          <w:right w:w="55" w:type="dxa"/>
        </w:tblCellMar>
      </w:tblPr>
      <w:tblGrid>
        <w:gridCol w:w="3088"/>
        <w:gridCol w:w="2876"/>
        <w:gridCol w:w="1920"/>
        <w:gridCol w:w="2351"/>
      </w:tblGrid>
      <w:tr>
        <w:tblPrEx>
          <w:tblCellMar>
            <w:top w:w="55" w:type="dxa"/>
            <w:left w:w="55" w:type="dxa"/>
            <w:bottom w:w="55" w:type="dxa"/>
            <w:right w:w="55" w:type="dxa"/>
          </w:tblCellMar>
        </w:tblPrEx>
        <w:trPr>
          <w:trHeight w:val="319" w:hRule="atLeast"/>
        </w:trPr>
        <w:tc>
          <w:tcPr>
            <w:tcW w:w="10235" w:type="dxa"/>
            <w:gridSpan w:val="4"/>
          </w:tcPr>
          <w:p>
            <w:pPr>
              <w:pStyle w:val="22"/>
              <w:widowControl w:val="0"/>
              <w:tabs>
                <w:tab w:val="left" w:pos="610"/>
              </w:tabs>
              <w:spacing w:before="28" w:after="0"/>
              <w:ind w:left="8" w:firstLine="0"/>
              <w:jc w:val="center"/>
              <w:rPr>
                <w:rFonts w:hint="eastAsia" w:ascii="仿宋" w:hAnsi="仿宋" w:eastAsia="仿宋" w:cs="仿宋"/>
                <w:b/>
                <w:bCs/>
                <w:sz w:val="44"/>
                <w:szCs w:val="44"/>
              </w:rPr>
            </w:pPr>
            <w:r>
              <w:rPr>
                <w:rFonts w:hint="eastAsia" w:ascii="仿宋" w:hAnsi="仿宋" w:eastAsia="仿宋" w:cs="仿宋"/>
                <w:b/>
                <w:bCs/>
                <w:sz w:val="44"/>
                <w:szCs w:val="44"/>
              </w:rPr>
              <w:t>一般公共预算机关运行经费支出决算表</w:t>
            </w:r>
          </w:p>
        </w:tc>
      </w:tr>
      <w:tr>
        <w:tblPrEx>
          <w:tblCellMar>
            <w:top w:w="55" w:type="dxa"/>
            <w:left w:w="55" w:type="dxa"/>
            <w:bottom w:w="55" w:type="dxa"/>
            <w:right w:w="55" w:type="dxa"/>
          </w:tblCellMar>
        </w:tblPrEx>
        <w:trPr>
          <w:trHeight w:val="90" w:hRule="atLeast"/>
        </w:trPr>
        <w:tc>
          <w:tcPr>
            <w:tcW w:w="5964" w:type="dxa"/>
            <w:gridSpan w:val="2"/>
          </w:tcPr>
          <w:p>
            <w:pPr>
              <w:pStyle w:val="22"/>
              <w:widowControl w:val="0"/>
              <w:rPr>
                <w:rFonts w:hint="eastAsia" w:ascii="仿宋" w:hAnsi="仿宋" w:eastAsia="仿宋" w:cs="仿宋"/>
                <w:sz w:val="20"/>
              </w:rPr>
            </w:pPr>
          </w:p>
        </w:tc>
        <w:tc>
          <w:tcPr>
            <w:tcW w:w="4271" w:type="dxa"/>
            <w:gridSpan w:val="2"/>
            <w:vAlign w:val="center"/>
          </w:tcPr>
          <w:p>
            <w:pPr>
              <w:pStyle w:val="22"/>
              <w:widowControl w:val="0"/>
              <w:jc w:val="right"/>
              <w:rPr>
                <w:rFonts w:hint="eastAsia" w:ascii="仿宋" w:hAnsi="仿宋" w:eastAsia="仿宋" w:cs="仿宋"/>
              </w:rPr>
            </w:pPr>
            <w:r>
              <w:rPr>
                <w:rFonts w:hint="eastAsia" w:ascii="仿宋" w:hAnsi="仿宋" w:eastAsia="仿宋" w:cs="仿宋"/>
              </w:rPr>
              <w:t>公开11表</w:t>
            </w:r>
          </w:p>
        </w:tc>
      </w:tr>
      <w:tr>
        <w:tblPrEx>
          <w:tblCellMar>
            <w:top w:w="55" w:type="dxa"/>
            <w:left w:w="55" w:type="dxa"/>
            <w:bottom w:w="55" w:type="dxa"/>
            <w:right w:w="55" w:type="dxa"/>
          </w:tblCellMar>
        </w:tblPrEx>
        <w:trPr>
          <w:trHeight w:val="90" w:hRule="atLeast"/>
        </w:trPr>
        <w:tc>
          <w:tcPr>
            <w:tcW w:w="7884" w:type="dxa"/>
            <w:gridSpan w:val="3"/>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名称：</w:t>
            </w:r>
            <w:r>
              <w:rPr>
                <w:rFonts w:hint="eastAsia" w:ascii="仿宋" w:hAnsi="仿宋" w:eastAsia="仿宋" w:cs="仿宋"/>
              </w:rPr>
              <w:t>江苏省无锡交通高等职业技术学校</w:t>
            </w:r>
          </w:p>
        </w:tc>
        <w:tc>
          <w:tcPr>
            <w:tcW w:w="2351"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319" w:hRule="atLeast"/>
        </w:trPr>
        <w:tc>
          <w:tcPr>
            <w:tcW w:w="5964" w:type="dxa"/>
            <w:gridSpan w:val="2"/>
            <w:tcBorders>
              <w:top w:val="single" w:color="000000" w:sz="4" w:space="0"/>
              <w:left w:val="single" w:color="000000" w:sz="4" w:space="0"/>
              <w:bottom w:val="single" w:color="000000" w:sz="4" w:space="0"/>
            </w:tcBorders>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w:t>
            </w:r>
            <w:r>
              <w:rPr>
                <w:rFonts w:hint="eastAsia" w:ascii="仿宋" w:hAnsi="仿宋" w:eastAsia="仿宋" w:cs="仿宋"/>
                <w:sz w:val="22"/>
                <w:szCs w:val="22"/>
              </w:rPr>
              <w:tab/>
            </w:r>
            <w:r>
              <w:rPr>
                <w:rFonts w:hint="eastAsia" w:ascii="仿宋" w:hAnsi="仿宋" w:eastAsia="仿宋" w:cs="仿宋"/>
                <w:sz w:val="22"/>
                <w:szCs w:val="22"/>
              </w:rPr>
              <w:t>目</w:t>
            </w:r>
          </w:p>
        </w:tc>
        <w:tc>
          <w:tcPr>
            <w:tcW w:w="4271"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机关运行经费支出决算</w:t>
            </w:r>
          </w:p>
        </w:tc>
      </w:tr>
      <w:tr>
        <w:tblPrEx>
          <w:tblCellMar>
            <w:top w:w="55" w:type="dxa"/>
            <w:left w:w="55" w:type="dxa"/>
            <w:bottom w:w="55" w:type="dxa"/>
            <w:right w:w="55" w:type="dxa"/>
          </w:tblCellMar>
        </w:tblPrEx>
        <w:trPr>
          <w:trHeight w:val="363" w:hRule="atLeast"/>
        </w:trPr>
        <w:tc>
          <w:tcPr>
            <w:tcW w:w="3088"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2876"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4271" w:type="dxa"/>
            <w:gridSpan w:val="2"/>
            <w:vMerge w:val="continue"/>
            <w:tcBorders>
              <w:left w:val="single" w:color="000000" w:sz="4" w:space="0"/>
              <w:bottom w:val="single" w:color="000000" w:sz="4" w:space="0"/>
              <w:right w:val="single" w:color="000000" w:sz="4" w:space="0"/>
            </w:tcBorders>
          </w:tcPr>
          <w:p>
            <w:pPr>
              <w:widowControl w:val="0"/>
              <w:jc w:val="left"/>
              <w:rPr>
                <w:rFonts w:hint="eastAsia" w:ascii="仿宋" w:hAnsi="仿宋" w:eastAsia="仿宋" w:cs="仿宋"/>
                <w:sz w:val="22"/>
                <w:szCs w:val="22"/>
              </w:rPr>
            </w:pPr>
          </w:p>
        </w:tc>
      </w:tr>
      <w:tr>
        <w:tblPrEx>
          <w:tblCellMar>
            <w:top w:w="55" w:type="dxa"/>
            <w:left w:w="55" w:type="dxa"/>
            <w:bottom w:w="55" w:type="dxa"/>
            <w:right w:w="55" w:type="dxa"/>
          </w:tblCellMar>
        </w:tblPrEx>
        <w:trPr>
          <w:trHeight w:val="263" w:hRule="atLeast"/>
        </w:trPr>
        <w:tc>
          <w:tcPr>
            <w:tcW w:w="5964"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4271" w:type="dxa"/>
            <w:gridSpan w:val="2"/>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000000" w:sz="4" w:space="0"/>
              <w:bottom w:val="single" w:color="000000"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302</w:t>
            </w:r>
          </w:p>
        </w:tc>
        <w:tc>
          <w:tcPr>
            <w:tcW w:w="2876" w:type="dxa"/>
            <w:tcBorders>
              <w:top w:val="single" w:color="000000" w:sz="4" w:space="0"/>
              <w:left w:val="single" w:color="000000" w:sz="4" w:space="0"/>
              <w:bottom w:val="single" w:color="000000"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商品和服务支出</w:t>
            </w:r>
          </w:p>
        </w:tc>
        <w:tc>
          <w:tcPr>
            <w:tcW w:w="4271"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000000" w:sz="4" w:space="0"/>
              <w:bottom w:val="single" w:color="000000"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30201</w:t>
            </w:r>
          </w:p>
        </w:tc>
        <w:tc>
          <w:tcPr>
            <w:tcW w:w="2876" w:type="dxa"/>
            <w:tcBorders>
              <w:top w:val="single" w:color="000000" w:sz="4" w:space="0"/>
              <w:left w:val="single" w:color="000000" w:sz="4" w:space="0"/>
              <w:bottom w:val="single" w:color="000000"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办公费</w:t>
            </w:r>
          </w:p>
        </w:tc>
        <w:tc>
          <w:tcPr>
            <w:tcW w:w="4271"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000000" w:sz="4" w:space="0"/>
              <w:bottom w:val="single" w:color="000000"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30202</w:t>
            </w:r>
          </w:p>
        </w:tc>
        <w:tc>
          <w:tcPr>
            <w:tcW w:w="2876" w:type="dxa"/>
            <w:tcBorders>
              <w:top w:val="single" w:color="000000" w:sz="4" w:space="0"/>
              <w:left w:val="single" w:color="000000" w:sz="4" w:space="0"/>
              <w:bottom w:val="single" w:color="000000"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印刷费</w:t>
            </w:r>
          </w:p>
        </w:tc>
        <w:tc>
          <w:tcPr>
            <w:tcW w:w="4271"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000000" w:sz="4" w:space="0"/>
              <w:bottom w:val="single" w:color="000000"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30203</w:t>
            </w:r>
          </w:p>
        </w:tc>
        <w:tc>
          <w:tcPr>
            <w:tcW w:w="2876" w:type="dxa"/>
            <w:tcBorders>
              <w:top w:val="single" w:color="000000" w:sz="4" w:space="0"/>
              <w:left w:val="single" w:color="000000" w:sz="4" w:space="0"/>
              <w:bottom w:val="single" w:color="000000"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咨询费</w:t>
            </w:r>
          </w:p>
        </w:tc>
        <w:tc>
          <w:tcPr>
            <w:tcW w:w="4271"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000000" w:sz="4" w:space="0"/>
              <w:bottom w:val="single" w:color="000000"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30204</w:t>
            </w:r>
          </w:p>
        </w:tc>
        <w:tc>
          <w:tcPr>
            <w:tcW w:w="2876" w:type="dxa"/>
            <w:tcBorders>
              <w:top w:val="single" w:color="000000" w:sz="4" w:space="0"/>
              <w:left w:val="single" w:color="000000" w:sz="4" w:space="0"/>
              <w:bottom w:val="single" w:color="000000"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手续费</w:t>
            </w:r>
          </w:p>
        </w:tc>
        <w:tc>
          <w:tcPr>
            <w:tcW w:w="4271"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000000" w:sz="4" w:space="0"/>
              <w:bottom w:val="single" w:color="000000"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30205</w:t>
            </w:r>
          </w:p>
        </w:tc>
        <w:tc>
          <w:tcPr>
            <w:tcW w:w="2876" w:type="dxa"/>
            <w:tcBorders>
              <w:top w:val="single" w:color="000000" w:sz="4" w:space="0"/>
              <w:left w:val="single" w:color="000000" w:sz="4" w:space="0"/>
              <w:bottom w:val="single" w:color="000000"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水费</w:t>
            </w:r>
          </w:p>
        </w:tc>
        <w:tc>
          <w:tcPr>
            <w:tcW w:w="4271"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000000" w:sz="4" w:space="0"/>
              <w:bottom w:val="single" w:color="000000"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30206</w:t>
            </w:r>
          </w:p>
        </w:tc>
        <w:tc>
          <w:tcPr>
            <w:tcW w:w="2876" w:type="dxa"/>
            <w:tcBorders>
              <w:top w:val="single" w:color="000000" w:sz="4" w:space="0"/>
              <w:left w:val="single" w:color="000000" w:sz="4" w:space="0"/>
              <w:bottom w:val="single" w:color="000000"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电费</w:t>
            </w:r>
          </w:p>
        </w:tc>
        <w:tc>
          <w:tcPr>
            <w:tcW w:w="4271"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000000" w:sz="4" w:space="0"/>
              <w:bottom w:val="single" w:color="000000"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30207</w:t>
            </w:r>
          </w:p>
        </w:tc>
        <w:tc>
          <w:tcPr>
            <w:tcW w:w="2876" w:type="dxa"/>
            <w:tcBorders>
              <w:top w:val="single" w:color="000000" w:sz="4" w:space="0"/>
              <w:left w:val="single" w:color="000000" w:sz="4" w:space="0"/>
              <w:bottom w:val="single" w:color="000000"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邮电费</w:t>
            </w:r>
          </w:p>
        </w:tc>
        <w:tc>
          <w:tcPr>
            <w:tcW w:w="4271"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000000" w:sz="4" w:space="0"/>
              <w:bottom w:val="single" w:color="000000"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30208</w:t>
            </w:r>
          </w:p>
        </w:tc>
        <w:tc>
          <w:tcPr>
            <w:tcW w:w="2876" w:type="dxa"/>
            <w:tcBorders>
              <w:top w:val="single" w:color="000000" w:sz="4" w:space="0"/>
              <w:left w:val="single" w:color="000000" w:sz="4" w:space="0"/>
              <w:bottom w:val="single" w:color="000000"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取暖费</w:t>
            </w:r>
          </w:p>
        </w:tc>
        <w:tc>
          <w:tcPr>
            <w:tcW w:w="4271"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000000" w:sz="4" w:space="0"/>
              <w:bottom w:val="single" w:color="000000"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30209</w:t>
            </w:r>
          </w:p>
        </w:tc>
        <w:tc>
          <w:tcPr>
            <w:tcW w:w="2876" w:type="dxa"/>
            <w:tcBorders>
              <w:top w:val="single" w:color="000000" w:sz="4" w:space="0"/>
              <w:left w:val="single" w:color="000000" w:sz="4" w:space="0"/>
              <w:bottom w:val="single" w:color="000000"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物业管理费</w:t>
            </w:r>
          </w:p>
        </w:tc>
        <w:tc>
          <w:tcPr>
            <w:tcW w:w="4271"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000000" w:sz="4" w:space="0"/>
              <w:bottom w:val="single" w:color="000000"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30211</w:t>
            </w:r>
          </w:p>
        </w:tc>
        <w:tc>
          <w:tcPr>
            <w:tcW w:w="2876" w:type="dxa"/>
            <w:tcBorders>
              <w:top w:val="single" w:color="000000" w:sz="4" w:space="0"/>
              <w:left w:val="single" w:color="000000" w:sz="4" w:space="0"/>
              <w:bottom w:val="single" w:color="000000"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差旅费</w:t>
            </w:r>
          </w:p>
        </w:tc>
        <w:tc>
          <w:tcPr>
            <w:tcW w:w="4271"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000000" w:sz="4" w:space="0"/>
              <w:bottom w:val="single" w:color="000000"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30212</w:t>
            </w:r>
          </w:p>
        </w:tc>
        <w:tc>
          <w:tcPr>
            <w:tcW w:w="2876" w:type="dxa"/>
            <w:tcBorders>
              <w:top w:val="single" w:color="000000" w:sz="4" w:space="0"/>
              <w:left w:val="single" w:color="000000" w:sz="4" w:space="0"/>
              <w:bottom w:val="single" w:color="000000"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因公出国（境）费用</w:t>
            </w:r>
          </w:p>
        </w:tc>
        <w:tc>
          <w:tcPr>
            <w:tcW w:w="4271"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000000" w:sz="4" w:space="0"/>
              <w:bottom w:val="single" w:color="000000"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30213</w:t>
            </w:r>
          </w:p>
        </w:tc>
        <w:tc>
          <w:tcPr>
            <w:tcW w:w="2876" w:type="dxa"/>
            <w:tcBorders>
              <w:top w:val="single" w:color="000000" w:sz="4" w:space="0"/>
              <w:left w:val="single" w:color="000000" w:sz="4" w:space="0"/>
              <w:bottom w:val="single" w:color="000000"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维修（护）费</w:t>
            </w:r>
          </w:p>
        </w:tc>
        <w:tc>
          <w:tcPr>
            <w:tcW w:w="4271"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000000" w:sz="4" w:space="0"/>
              <w:bottom w:val="single" w:color="000000"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30214</w:t>
            </w:r>
          </w:p>
        </w:tc>
        <w:tc>
          <w:tcPr>
            <w:tcW w:w="2876" w:type="dxa"/>
            <w:tcBorders>
              <w:top w:val="single" w:color="000000" w:sz="4" w:space="0"/>
              <w:left w:val="single" w:color="000000" w:sz="4" w:space="0"/>
              <w:bottom w:val="single" w:color="000000"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租赁费</w:t>
            </w:r>
          </w:p>
        </w:tc>
        <w:tc>
          <w:tcPr>
            <w:tcW w:w="4271"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000000" w:sz="4" w:space="0"/>
              <w:bottom w:val="single" w:color="000000"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30215</w:t>
            </w:r>
          </w:p>
        </w:tc>
        <w:tc>
          <w:tcPr>
            <w:tcW w:w="2876" w:type="dxa"/>
            <w:tcBorders>
              <w:top w:val="single" w:color="000000" w:sz="4" w:space="0"/>
              <w:left w:val="single" w:color="000000" w:sz="4" w:space="0"/>
              <w:bottom w:val="single" w:color="000000"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会议费</w:t>
            </w:r>
          </w:p>
        </w:tc>
        <w:tc>
          <w:tcPr>
            <w:tcW w:w="4271"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000000" w:sz="4" w:space="0"/>
              <w:bottom w:val="single" w:color="000000"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30216</w:t>
            </w:r>
          </w:p>
        </w:tc>
        <w:tc>
          <w:tcPr>
            <w:tcW w:w="2876" w:type="dxa"/>
            <w:tcBorders>
              <w:top w:val="single" w:color="000000" w:sz="4" w:space="0"/>
              <w:left w:val="single" w:color="000000" w:sz="4" w:space="0"/>
              <w:bottom w:val="single" w:color="000000"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培训费</w:t>
            </w:r>
          </w:p>
        </w:tc>
        <w:tc>
          <w:tcPr>
            <w:tcW w:w="4271"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000000" w:sz="4" w:space="0"/>
              <w:bottom w:val="single" w:color="000000"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30217</w:t>
            </w:r>
          </w:p>
        </w:tc>
        <w:tc>
          <w:tcPr>
            <w:tcW w:w="2876" w:type="dxa"/>
            <w:tcBorders>
              <w:top w:val="single" w:color="000000" w:sz="4" w:space="0"/>
              <w:left w:val="single" w:color="000000" w:sz="4" w:space="0"/>
              <w:bottom w:val="single" w:color="000000"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公务接待费</w:t>
            </w:r>
          </w:p>
        </w:tc>
        <w:tc>
          <w:tcPr>
            <w:tcW w:w="4271"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000000" w:sz="4" w:space="0"/>
              <w:bottom w:val="single" w:color="000000"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30218</w:t>
            </w:r>
          </w:p>
        </w:tc>
        <w:tc>
          <w:tcPr>
            <w:tcW w:w="2876" w:type="dxa"/>
            <w:tcBorders>
              <w:top w:val="single" w:color="000000" w:sz="4" w:space="0"/>
              <w:left w:val="single" w:color="000000" w:sz="4" w:space="0"/>
              <w:bottom w:val="single" w:color="000000"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专用材料费</w:t>
            </w:r>
          </w:p>
        </w:tc>
        <w:tc>
          <w:tcPr>
            <w:tcW w:w="4271"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000000" w:sz="4" w:space="0"/>
              <w:bottom w:val="single" w:color="000000"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30224</w:t>
            </w:r>
          </w:p>
        </w:tc>
        <w:tc>
          <w:tcPr>
            <w:tcW w:w="2876" w:type="dxa"/>
            <w:tcBorders>
              <w:top w:val="single" w:color="000000" w:sz="4" w:space="0"/>
              <w:left w:val="single" w:color="000000" w:sz="4" w:space="0"/>
              <w:bottom w:val="single" w:color="000000"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被装购置费</w:t>
            </w:r>
          </w:p>
        </w:tc>
        <w:tc>
          <w:tcPr>
            <w:tcW w:w="4271"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000000" w:sz="4" w:space="0"/>
              <w:bottom w:val="single" w:color="000000"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30225</w:t>
            </w:r>
          </w:p>
        </w:tc>
        <w:tc>
          <w:tcPr>
            <w:tcW w:w="2876" w:type="dxa"/>
            <w:tcBorders>
              <w:top w:val="single" w:color="000000" w:sz="4" w:space="0"/>
              <w:left w:val="single" w:color="000000" w:sz="4" w:space="0"/>
              <w:bottom w:val="single" w:color="000000"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专用燃料费</w:t>
            </w:r>
          </w:p>
        </w:tc>
        <w:tc>
          <w:tcPr>
            <w:tcW w:w="4271"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000000" w:sz="4" w:space="0"/>
              <w:bottom w:val="single" w:color="000000"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30226</w:t>
            </w:r>
          </w:p>
        </w:tc>
        <w:tc>
          <w:tcPr>
            <w:tcW w:w="2876" w:type="dxa"/>
            <w:tcBorders>
              <w:top w:val="single" w:color="000000" w:sz="4" w:space="0"/>
              <w:left w:val="single" w:color="000000" w:sz="4" w:space="0"/>
              <w:bottom w:val="single" w:color="000000"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劳务费</w:t>
            </w:r>
          </w:p>
        </w:tc>
        <w:tc>
          <w:tcPr>
            <w:tcW w:w="4271"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000000" w:sz="4" w:space="0"/>
              <w:bottom w:val="single" w:color="000000"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30227</w:t>
            </w:r>
          </w:p>
        </w:tc>
        <w:tc>
          <w:tcPr>
            <w:tcW w:w="2876" w:type="dxa"/>
            <w:tcBorders>
              <w:top w:val="single" w:color="000000" w:sz="4" w:space="0"/>
              <w:left w:val="single" w:color="000000" w:sz="4" w:space="0"/>
              <w:bottom w:val="single" w:color="000000"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委托业务费</w:t>
            </w:r>
          </w:p>
        </w:tc>
        <w:tc>
          <w:tcPr>
            <w:tcW w:w="4271"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000000" w:sz="4" w:space="0"/>
              <w:bottom w:val="single" w:color="000000"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30228</w:t>
            </w:r>
          </w:p>
        </w:tc>
        <w:tc>
          <w:tcPr>
            <w:tcW w:w="2876" w:type="dxa"/>
            <w:tcBorders>
              <w:top w:val="single" w:color="000000" w:sz="4" w:space="0"/>
              <w:left w:val="single" w:color="000000" w:sz="4" w:space="0"/>
              <w:bottom w:val="single" w:color="000000"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工会经费</w:t>
            </w:r>
          </w:p>
        </w:tc>
        <w:tc>
          <w:tcPr>
            <w:tcW w:w="4271"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000000" w:sz="4" w:space="0"/>
              <w:bottom w:val="single" w:color="000000"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30229</w:t>
            </w:r>
          </w:p>
        </w:tc>
        <w:tc>
          <w:tcPr>
            <w:tcW w:w="2876" w:type="dxa"/>
            <w:tcBorders>
              <w:top w:val="single" w:color="000000" w:sz="4" w:space="0"/>
              <w:left w:val="single" w:color="000000" w:sz="4" w:space="0"/>
              <w:bottom w:val="single" w:color="000000"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福利费</w:t>
            </w:r>
          </w:p>
        </w:tc>
        <w:tc>
          <w:tcPr>
            <w:tcW w:w="4271"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000000" w:sz="4" w:space="0"/>
              <w:bottom w:val="single" w:color="000000"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30231</w:t>
            </w:r>
          </w:p>
        </w:tc>
        <w:tc>
          <w:tcPr>
            <w:tcW w:w="2876" w:type="dxa"/>
            <w:tcBorders>
              <w:top w:val="single" w:color="000000" w:sz="4" w:space="0"/>
              <w:left w:val="single" w:color="000000" w:sz="4" w:space="0"/>
              <w:bottom w:val="single" w:color="000000"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公务用车运行维护费</w:t>
            </w:r>
          </w:p>
        </w:tc>
        <w:tc>
          <w:tcPr>
            <w:tcW w:w="4271"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000000" w:sz="4" w:space="0"/>
              <w:bottom w:val="single" w:color="000000"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30239</w:t>
            </w:r>
          </w:p>
        </w:tc>
        <w:tc>
          <w:tcPr>
            <w:tcW w:w="2876" w:type="dxa"/>
            <w:tcBorders>
              <w:top w:val="single" w:color="000000" w:sz="4" w:space="0"/>
              <w:left w:val="single" w:color="000000" w:sz="4" w:space="0"/>
              <w:bottom w:val="single" w:color="000000"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其他交通费用</w:t>
            </w:r>
          </w:p>
        </w:tc>
        <w:tc>
          <w:tcPr>
            <w:tcW w:w="4271"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000000" w:sz="4" w:space="0"/>
              <w:bottom w:val="single" w:color="000000"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30240</w:t>
            </w:r>
          </w:p>
        </w:tc>
        <w:tc>
          <w:tcPr>
            <w:tcW w:w="2876" w:type="dxa"/>
            <w:tcBorders>
              <w:top w:val="single" w:color="000000" w:sz="4" w:space="0"/>
              <w:left w:val="single" w:color="000000" w:sz="4" w:space="0"/>
              <w:bottom w:val="single" w:color="000000"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税金及附加费用</w:t>
            </w:r>
          </w:p>
        </w:tc>
        <w:tc>
          <w:tcPr>
            <w:tcW w:w="4271"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000000" w:sz="4" w:space="0"/>
              <w:bottom w:val="single" w:color="000000"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30299</w:t>
            </w:r>
          </w:p>
        </w:tc>
        <w:tc>
          <w:tcPr>
            <w:tcW w:w="2876" w:type="dxa"/>
            <w:tcBorders>
              <w:top w:val="single" w:color="000000" w:sz="4" w:space="0"/>
              <w:left w:val="single" w:color="000000" w:sz="4" w:space="0"/>
              <w:bottom w:val="single" w:color="000000"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其他商品和服务支出</w:t>
            </w:r>
          </w:p>
        </w:tc>
        <w:tc>
          <w:tcPr>
            <w:tcW w:w="4271"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000000" w:sz="4" w:space="0"/>
              <w:bottom w:val="single" w:color="000000"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307</w:t>
            </w:r>
          </w:p>
        </w:tc>
        <w:tc>
          <w:tcPr>
            <w:tcW w:w="2876" w:type="dxa"/>
            <w:tcBorders>
              <w:top w:val="single" w:color="000000" w:sz="4" w:space="0"/>
              <w:left w:val="single" w:color="000000" w:sz="4" w:space="0"/>
              <w:bottom w:val="single" w:color="000000"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债务利息及费用支出</w:t>
            </w:r>
          </w:p>
        </w:tc>
        <w:tc>
          <w:tcPr>
            <w:tcW w:w="4271"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000000" w:sz="4" w:space="0"/>
              <w:bottom w:val="single" w:color="000000"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310</w:t>
            </w:r>
          </w:p>
        </w:tc>
        <w:tc>
          <w:tcPr>
            <w:tcW w:w="2876" w:type="dxa"/>
            <w:tcBorders>
              <w:top w:val="single" w:color="000000" w:sz="4" w:space="0"/>
              <w:left w:val="single" w:color="000000" w:sz="4" w:space="0"/>
              <w:bottom w:val="single" w:color="000000"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资本性支出</w:t>
            </w:r>
          </w:p>
        </w:tc>
        <w:tc>
          <w:tcPr>
            <w:tcW w:w="4271"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000000" w:sz="4" w:space="0"/>
              <w:bottom w:val="single" w:color="000000"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31001</w:t>
            </w:r>
          </w:p>
        </w:tc>
        <w:tc>
          <w:tcPr>
            <w:tcW w:w="2876" w:type="dxa"/>
            <w:tcBorders>
              <w:top w:val="single" w:color="000000" w:sz="4" w:space="0"/>
              <w:left w:val="single" w:color="000000" w:sz="4" w:space="0"/>
              <w:bottom w:val="single" w:color="000000"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房屋建筑物购建</w:t>
            </w:r>
          </w:p>
        </w:tc>
        <w:tc>
          <w:tcPr>
            <w:tcW w:w="4271"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000000" w:sz="4" w:space="0"/>
              <w:bottom w:val="single" w:color="000000"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31002</w:t>
            </w:r>
          </w:p>
        </w:tc>
        <w:tc>
          <w:tcPr>
            <w:tcW w:w="2876" w:type="dxa"/>
            <w:tcBorders>
              <w:top w:val="single" w:color="000000" w:sz="4" w:space="0"/>
              <w:left w:val="single" w:color="000000" w:sz="4" w:space="0"/>
              <w:bottom w:val="single" w:color="000000"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办公设备购置</w:t>
            </w:r>
          </w:p>
        </w:tc>
        <w:tc>
          <w:tcPr>
            <w:tcW w:w="4271"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spacing w:before="25" w:after="0"/>
        <w:ind w:left="2" w:leftChars="-200" w:hanging="442" w:hangingChars="200"/>
        <w:rPr>
          <w:rFonts w:hint="eastAsia" w:ascii="仿宋" w:hAnsi="仿宋" w:eastAsia="仿宋" w:cs="仿宋"/>
          <w:b/>
          <w:bCs/>
          <w:sz w:val="22"/>
          <w:szCs w:val="22"/>
        </w:rPr>
      </w:pPr>
      <w:r>
        <w:rPr>
          <w:rFonts w:hint="eastAsia" w:ascii="仿宋" w:hAnsi="仿宋" w:eastAsia="仿宋" w:cs="仿宋"/>
          <w:b/>
          <w:bCs/>
          <w:sz w:val="22"/>
          <w:szCs w:val="22"/>
        </w:rPr>
        <w:t>注：1.“机关运行经费” 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w:t>
      </w:r>
    </w:p>
    <w:p>
      <w:pPr>
        <w:numPr>
          <w:ilvl w:val="0"/>
          <w:numId w:val="10"/>
        </w:numPr>
        <w:tabs>
          <w:tab w:val="left" w:pos="0"/>
          <w:tab w:val="clear" w:pos="312"/>
        </w:tabs>
        <w:spacing w:before="25" w:after="0"/>
        <w:ind w:left="-1" w:leftChars="0" w:firstLine="0" w:firstLineChars="0"/>
        <w:rPr>
          <w:rFonts w:hint="eastAsia" w:ascii="仿宋" w:hAnsi="仿宋" w:eastAsia="仿宋" w:cs="仿宋"/>
          <w:b/>
          <w:bCs/>
          <w:sz w:val="22"/>
          <w:szCs w:val="22"/>
        </w:rPr>
      </w:pPr>
      <w:r>
        <w:rPr>
          <w:rFonts w:hint="eastAsia" w:ascii="仿宋" w:hAnsi="仿宋" w:eastAsia="仿宋" w:cs="仿宋"/>
          <w:b/>
          <w:bCs/>
          <w:sz w:val="22"/>
          <w:szCs w:val="22"/>
        </w:rPr>
        <w:t>本表金额转换为万元时，因四舍五入可能存在尾差</w:t>
      </w:r>
    </w:p>
    <w:p>
      <w:pPr>
        <w:numPr>
          <w:ilvl w:val="0"/>
          <w:numId w:val="10"/>
        </w:numPr>
        <w:tabs>
          <w:tab w:val="left" w:pos="0"/>
          <w:tab w:val="clear" w:pos="312"/>
        </w:tabs>
        <w:spacing w:before="25" w:after="0"/>
        <w:ind w:left="-1" w:leftChars="0" w:firstLine="0" w:firstLineChars="0"/>
        <w:rPr>
          <w:rFonts w:hint="eastAsia" w:ascii="仿宋" w:hAnsi="仿宋" w:eastAsia="仿宋" w:cs="仿宋"/>
          <w:b/>
          <w:bCs/>
          <w:sz w:val="22"/>
          <w:szCs w:val="22"/>
        </w:rPr>
      </w:pPr>
      <w:r>
        <w:rPr>
          <w:rFonts w:hint="eastAsia" w:ascii="仿宋" w:hAnsi="仿宋" w:eastAsia="仿宋" w:cs="仿宋"/>
          <w:b/>
          <w:bCs/>
          <w:sz w:val="22"/>
          <w:szCs w:val="22"/>
        </w:rPr>
        <w:t/>
      </w:r>
      <w:r>
        <w:rPr>
          <w:rFonts w:hint="eastAsia" w:ascii="仿宋" w:hAnsi="仿宋" w:eastAsia="仿宋" w:cs="仿宋"/>
          <w:b/>
          <w:bCs/>
          <w:sz w:val="22"/>
          <w:szCs w:val="22"/>
          <w:lang w:eastAsia="zh-CN"/>
        </w:rPr>
        <w:t>本</w:t>
      </w:r>
      <w:r>
        <w:rPr>
          <w:rFonts w:ascii="仿宋" w:hAnsi="仿宋" w:cs="仿宋" w:eastAsia="仿宋"/>
          <w:b w:val="true"/>
          <w:sz w:val="22"/>
        </w:rPr>
        <w:t>单位</w:t>
      </w:r>
      <w:r>
        <w:rPr>
          <w:rFonts w:hint="eastAsia" w:ascii="仿宋" w:hAnsi="仿宋" w:eastAsia="仿宋" w:cs="仿宋"/>
          <w:b/>
          <w:bCs/>
          <w:sz w:val="22"/>
          <w:szCs w:val="22"/>
        </w:rPr>
        <w:t>无一般公共预算机关运行经费支出决算，故本表为空。</w:t>
      </w:r>
      <w:r>
        <w:rPr>
          <w:rFonts w:ascii="仿宋" w:hAnsi="仿宋" w:cs="仿宋" w:eastAsia="仿宋"/>
          <w:b w:val="true"/>
          <w:sz w:val="22"/>
        </w:rPr>
        <w:t/>
      </w:r>
    </w:p>
    <w:p>
      <w:pPr>
        <w:widowControl w:val="0"/>
        <w:suppressAutoHyphens/>
        <w:bidi w:val="0"/>
        <w:spacing w:before="78" w:after="0" w:line="290" w:lineRule="auto"/>
        <w:ind w:left="227" w:right="57" w:firstLine="0"/>
        <w:jc w:val="both"/>
        <w:rPr>
          <w:rFonts w:hint="eastAsia" w:ascii="仿宋" w:hAnsi="仿宋" w:eastAsia="仿宋" w:cs="仿宋"/>
          <w:b/>
          <w:bCs/>
          <w:sz w:val="22"/>
          <w:szCs w:val="22"/>
        </w:rPr>
        <w:sectPr>
          <w:footerReference r:id="rId16" w:type="default"/>
          <w:pgSz w:w="11906" w:h="16838"/>
          <w:pgMar w:top="1100" w:right="1320" w:bottom="770" w:left="13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9177" w:type="dxa"/>
        <w:tblInd w:w="45" w:type="dxa"/>
        <w:tblLayout w:type="fixed"/>
        <w:tblCellMar>
          <w:top w:w="55" w:type="dxa"/>
          <w:left w:w="55" w:type="dxa"/>
          <w:bottom w:w="55" w:type="dxa"/>
          <w:right w:w="55" w:type="dxa"/>
        </w:tblCellMar>
      </w:tblPr>
      <w:tblGrid>
        <w:gridCol w:w="3682"/>
        <w:gridCol w:w="1512"/>
        <w:gridCol w:w="1992"/>
        <w:gridCol w:w="1991"/>
      </w:tblGrid>
      <w:tr>
        <w:tblPrEx>
          <w:tblCellMar>
            <w:top w:w="55" w:type="dxa"/>
            <w:left w:w="55" w:type="dxa"/>
            <w:bottom w:w="55" w:type="dxa"/>
            <w:right w:w="55" w:type="dxa"/>
          </w:tblCellMar>
        </w:tblPrEx>
        <w:trPr>
          <w:trHeight w:val="333" w:hRule="atLeast"/>
        </w:trPr>
        <w:tc>
          <w:tcPr>
            <w:tcW w:w="9177" w:type="dxa"/>
            <w:gridSpan w:val="4"/>
            <w:vAlign w:val="center"/>
          </w:tcPr>
          <w:p>
            <w:pPr>
              <w:pStyle w:val="22"/>
              <w:widowControl w:val="0"/>
              <w:bidi w:val="0"/>
              <w:jc w:val="center"/>
              <w:rPr>
                <w:rFonts w:hint="eastAsia" w:ascii="仿宋" w:hAnsi="仿宋" w:eastAsia="仿宋" w:cs="仿宋"/>
                <w:b/>
                <w:bCs/>
                <w:sz w:val="44"/>
                <w:szCs w:val="44"/>
              </w:rPr>
            </w:pPr>
            <w:r>
              <w:rPr>
                <w:rFonts w:hint="eastAsia" w:ascii="仿宋" w:hAnsi="仿宋" w:eastAsia="仿宋" w:cs="仿宋"/>
                <w:b/>
                <w:bCs/>
                <w:sz w:val="44"/>
                <w:szCs w:val="44"/>
              </w:rPr>
              <w:t>政府采购支出决算表</w:t>
            </w:r>
          </w:p>
        </w:tc>
      </w:tr>
      <w:tr>
        <w:tblPrEx>
          <w:tblCellMar>
            <w:top w:w="55" w:type="dxa"/>
            <w:left w:w="55" w:type="dxa"/>
            <w:bottom w:w="55" w:type="dxa"/>
            <w:right w:w="55" w:type="dxa"/>
          </w:tblCellMar>
        </w:tblPrEx>
        <w:trPr>
          <w:trHeight w:val="333" w:hRule="atLeast"/>
        </w:trPr>
        <w:tc>
          <w:tcPr>
            <w:tcW w:w="3682" w:type="dxa"/>
          </w:tcPr>
          <w:p>
            <w:pPr>
              <w:pStyle w:val="22"/>
              <w:widowControl w:val="0"/>
              <w:bidi w:val="0"/>
              <w:rPr>
                <w:rFonts w:hint="eastAsia" w:ascii="仿宋" w:hAnsi="仿宋" w:eastAsia="仿宋" w:cs="仿宋"/>
              </w:rPr>
            </w:pPr>
          </w:p>
        </w:tc>
        <w:tc>
          <w:tcPr>
            <w:tcW w:w="1512" w:type="dxa"/>
          </w:tcPr>
          <w:p>
            <w:pPr>
              <w:pStyle w:val="22"/>
              <w:widowControl w:val="0"/>
              <w:rPr>
                <w:rFonts w:hint="eastAsia" w:ascii="仿宋" w:hAnsi="仿宋" w:eastAsia="仿宋" w:cs="仿宋"/>
              </w:rPr>
            </w:pPr>
          </w:p>
        </w:tc>
        <w:tc>
          <w:tcPr>
            <w:tcW w:w="1992" w:type="dxa"/>
          </w:tcPr>
          <w:p>
            <w:pPr>
              <w:pStyle w:val="22"/>
              <w:widowControl w:val="0"/>
              <w:rPr>
                <w:rFonts w:hint="eastAsia" w:ascii="仿宋" w:hAnsi="仿宋" w:eastAsia="仿宋" w:cs="仿宋"/>
              </w:rPr>
            </w:pPr>
          </w:p>
        </w:tc>
        <w:tc>
          <w:tcPr>
            <w:tcW w:w="1991" w:type="dxa"/>
            <w:vAlign w:val="center"/>
          </w:tcPr>
          <w:p>
            <w:pPr>
              <w:pStyle w:val="22"/>
              <w:widowControl w:val="0"/>
              <w:jc w:val="right"/>
              <w:rPr>
                <w:rFonts w:hint="eastAsia" w:ascii="仿宋" w:hAnsi="仿宋" w:eastAsia="仿宋" w:cs="仿宋"/>
              </w:rPr>
            </w:pPr>
            <w:r>
              <w:rPr>
                <w:rFonts w:hint="eastAsia" w:ascii="仿宋" w:hAnsi="仿宋" w:eastAsia="仿宋" w:cs="仿宋"/>
              </w:rPr>
              <w:t>公开12表</w:t>
            </w:r>
          </w:p>
        </w:tc>
      </w:tr>
      <w:tr>
        <w:tblPrEx>
          <w:tblCellMar>
            <w:top w:w="55" w:type="dxa"/>
            <w:left w:w="55" w:type="dxa"/>
            <w:bottom w:w="55" w:type="dxa"/>
            <w:right w:w="55" w:type="dxa"/>
          </w:tblCellMar>
        </w:tblPrEx>
        <w:trPr>
          <w:trHeight w:val="90" w:hRule="atLeast"/>
        </w:trPr>
        <w:tc>
          <w:tcPr>
            <w:tcW w:w="7186" w:type="dxa"/>
            <w:gridSpan w:val="3"/>
          </w:tcPr>
          <w:p>
            <w:pPr>
              <w:pStyle w:val="22"/>
              <w:widowControl w:val="0"/>
              <w:bidi w:val="0"/>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cs="仿宋" w:eastAsia="仿宋"/>
                <w:color w:val="000000"/>
                <w:sz w:val="22"/>
              </w:rPr>
              <w:t>名称：</w:t>
            </w:r>
            <w:r>
              <w:rPr>
                <w:rFonts w:hint="eastAsia" w:ascii="仿宋" w:hAnsi="仿宋" w:eastAsia="仿宋" w:cs="仿宋"/>
              </w:rPr>
              <w:t>江苏省无锡交通高等职业技术学校</w:t>
            </w:r>
          </w:p>
        </w:tc>
        <w:tc>
          <w:tcPr>
            <w:tcW w:w="1991" w:type="dxa"/>
            <w:vAlign w:val="center"/>
          </w:tcPr>
          <w:p>
            <w:pPr>
              <w:pStyle w:val="22"/>
              <w:widowControl w:val="0"/>
              <w:jc w:val="right"/>
              <w:rPr>
                <w:rFonts w:hint="eastAsia" w:ascii="仿宋" w:hAnsi="仿宋" w:eastAsia="仿宋" w:cs="仿宋"/>
              </w:rPr>
            </w:pPr>
            <w:r>
              <w:rPr>
                <w:rFonts w:hint="eastAsia" w:ascii="仿宋" w:hAnsi="仿宋" w:eastAsia="仿宋" w:cs="仿宋"/>
              </w:rPr>
              <w:t>单位：万元</w:t>
            </w:r>
          </w:p>
        </w:tc>
      </w:tr>
      <w:tr>
        <w:tblPrEx>
          <w:tblCellMar>
            <w:top w:w="55" w:type="dxa"/>
            <w:left w:w="55" w:type="dxa"/>
            <w:bottom w:w="55" w:type="dxa"/>
            <w:right w:w="55" w:type="dxa"/>
          </w:tblCellMar>
        </w:tblPrEx>
        <w:trPr>
          <w:trHeight w:val="244" w:hRule="atLeast"/>
        </w:trPr>
        <w:tc>
          <w:tcPr>
            <w:tcW w:w="3682" w:type="dxa"/>
            <w:tcBorders>
              <w:top w:val="single" w:color="000000" w:sz="4" w:space="0"/>
              <w:left w:val="single" w:color="000000" w:sz="4" w:space="0"/>
              <w:bottom w:val="single" w:color="000000" w:sz="4" w:space="0"/>
            </w:tcBorders>
            <w:vAlign w:val="center"/>
          </w:tcPr>
          <w:p>
            <w:pPr>
              <w:pStyle w:val="22"/>
              <w:widowControl w:val="0"/>
              <w:bidi w:val="0"/>
              <w:jc w:val="center"/>
              <w:rPr>
                <w:rFonts w:hint="eastAsia" w:ascii="仿宋" w:hAnsi="仿宋" w:eastAsia="仿宋" w:cs="仿宋"/>
              </w:rPr>
            </w:pPr>
            <w:r>
              <w:rPr>
                <w:rFonts w:hint="eastAsia" w:ascii="仿宋" w:hAnsi="仿宋" w:eastAsia="仿宋" w:cs="仿宋"/>
              </w:rPr>
              <w:t>采购品目大类</w:t>
            </w:r>
          </w:p>
        </w:tc>
        <w:tc>
          <w:tcPr>
            <w:tcW w:w="5495"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金</w:t>
            </w:r>
            <w:r>
              <w:rPr>
                <w:rFonts w:hint="eastAsia" w:ascii="仿宋" w:hAnsi="仿宋" w:eastAsia="仿宋" w:cs="仿宋"/>
              </w:rPr>
              <w:tab/>
            </w:r>
            <w:r>
              <w:rPr>
                <w:rFonts w:hint="eastAsia" w:ascii="仿宋" w:hAnsi="仿宋" w:eastAsia="仿宋" w:cs="仿宋"/>
              </w:rPr>
              <w:t>额</w:t>
            </w:r>
          </w:p>
        </w:tc>
      </w:tr>
      <w:tr>
        <w:tblPrEx>
          <w:tblCellMar>
            <w:top w:w="55" w:type="dxa"/>
            <w:left w:w="55" w:type="dxa"/>
            <w:bottom w:w="55" w:type="dxa"/>
            <w:right w:w="55" w:type="dxa"/>
          </w:tblCellMar>
        </w:tblPrEx>
        <w:trPr>
          <w:trHeight w:val="186" w:hRule="atLeast"/>
        </w:trPr>
        <w:tc>
          <w:tcPr>
            <w:tcW w:w="3682" w:type="dxa"/>
            <w:tcBorders>
              <w:left w:val="single" w:color="000000" w:sz="4" w:space="0"/>
              <w:bottom w:val="single" w:color="000000" w:sz="4" w:space="0"/>
            </w:tcBorders>
            <w:vAlign w:val="center"/>
          </w:tcPr>
          <w:p>
            <w:pPr>
              <w:pStyle w:val="22"/>
              <w:widowControl w:val="0"/>
              <w:bidi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合计</w:t>
            </w:r>
          </w:p>
        </w:tc>
        <w:tc>
          <w:tcPr>
            <w:tcW w:w="5495"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1,300.08</w:t>
            </w:r>
          </w:p>
        </w:tc>
      </w:tr>
      <w:tr>
        <w:tblPrEx>
          <w:tblCellMar>
            <w:top w:w="55" w:type="dxa"/>
            <w:left w:w="55" w:type="dxa"/>
            <w:bottom w:w="55" w:type="dxa"/>
            <w:right w:w="55" w:type="dxa"/>
          </w:tblCellMar>
        </w:tblPrEx>
        <w:trPr>
          <w:cantSplit/>
          <w:trHeight w:val="140" w:hRule="atLeast"/>
        </w:trPr>
        <w:tc>
          <w:tcPr>
            <w:tcW w:w="368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一、政府采购货物支出</w:t>
            </w:r>
          </w:p>
        </w:tc>
        <w:tc>
          <w:tcPr>
            <w:tcW w:w="5495"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426.35</w:t>
            </w:r>
          </w:p>
        </w:tc>
      </w:tr>
      <w:tr>
        <w:tblPrEx>
          <w:tblCellMar>
            <w:top w:w="55" w:type="dxa"/>
            <w:left w:w="55" w:type="dxa"/>
            <w:bottom w:w="55" w:type="dxa"/>
            <w:right w:w="55" w:type="dxa"/>
          </w:tblCellMar>
        </w:tblPrEx>
        <w:trPr>
          <w:cantSplit/>
          <w:trHeight w:val="140" w:hRule="atLeast"/>
        </w:trPr>
        <w:tc>
          <w:tcPr>
            <w:tcW w:w="368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二、政府采购工程支出</w:t>
            </w:r>
          </w:p>
        </w:tc>
        <w:tc>
          <w:tcPr>
            <w:tcW w:w="5495"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772.67</w:t>
            </w:r>
          </w:p>
        </w:tc>
      </w:tr>
      <w:tr>
        <w:tblPrEx>
          <w:tblCellMar>
            <w:top w:w="55" w:type="dxa"/>
            <w:left w:w="55" w:type="dxa"/>
            <w:bottom w:w="55" w:type="dxa"/>
            <w:right w:w="55" w:type="dxa"/>
          </w:tblCellMar>
        </w:tblPrEx>
        <w:trPr>
          <w:cantSplit/>
          <w:trHeight w:val="140" w:hRule="atLeast"/>
        </w:trPr>
        <w:tc>
          <w:tcPr>
            <w:tcW w:w="368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三、政府采购服务支出</w:t>
            </w:r>
          </w:p>
        </w:tc>
        <w:tc>
          <w:tcPr>
            <w:tcW w:w="5495"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101.06</w:t>
            </w:r>
          </w:p>
        </w:tc>
      </w:tr>
    </w:tbl>
    <w:p>
      <w:pPr>
        <w:bidi w:val="0"/>
        <w:rPr>
          <w:rFonts w:hint="eastAsia" w:ascii="仿宋" w:hAnsi="仿宋" w:eastAsia="仿宋" w:cs="仿宋"/>
          <w:b/>
          <w:bCs/>
          <w:sz w:val="22"/>
          <w:szCs w:val="22"/>
        </w:rPr>
      </w:pPr>
      <w:r>
        <w:rPr>
          <w:rFonts w:hint="eastAsia" w:ascii="仿宋" w:hAnsi="仿宋" w:eastAsia="仿宋" w:cs="仿宋"/>
          <w:b/>
          <w:bCs/>
          <w:sz w:val="22"/>
          <w:szCs w:val="22"/>
        </w:rPr>
        <w:t>注：</w:t>
      </w:r>
      <w:r>
        <w:rPr>
          <w:rFonts w:hint="eastAsia" w:ascii="仿宋" w:hAnsi="仿宋" w:eastAsia="仿宋" w:cs="仿宋"/>
          <w:b/>
          <w:bCs/>
          <w:sz w:val="22"/>
          <w:szCs w:val="22"/>
          <w:lang w:val="en-US" w:eastAsia="zh-CN"/>
        </w:rPr>
        <w:t>1.</w:t>
      </w:r>
      <w:r>
        <w:rPr>
          <w:rFonts w:hint="eastAsia" w:ascii="仿宋" w:hAnsi="仿宋" w:eastAsia="仿宋" w:cs="仿宋"/>
          <w:b/>
          <w:bCs/>
          <w:sz w:val="22"/>
          <w:szCs w:val="22"/>
        </w:rPr>
        <w:t>政府采购支出信息为单位纳入部门预算范围的各项政府采购支出情况。</w:t>
      </w:r>
    </w:p>
    <w:p>
      <w:pPr>
        <w:numPr>
          <w:ilvl w:val="0"/>
          <w:numId w:val="11"/>
        </w:numPr>
        <w:bidi w:val="0"/>
        <w:ind w:left="420" w:leftChars="0" w:firstLine="0" w:firstLineChars="0"/>
        <w:rPr>
          <w:rFonts w:hint="eastAsia" w:ascii="仿宋" w:hAnsi="仿宋" w:eastAsia="仿宋" w:cs="仿宋"/>
          <w:b/>
          <w:bCs/>
          <w:sz w:val="22"/>
          <w:szCs w:val="22"/>
        </w:rPr>
      </w:pPr>
      <w:r>
        <w:rPr>
          <w:rFonts w:hint="eastAsia" w:ascii="仿宋" w:hAnsi="仿宋" w:eastAsia="仿宋" w:cs="仿宋"/>
          <w:b/>
          <w:bCs/>
          <w:sz w:val="22"/>
          <w:szCs w:val="22"/>
        </w:rPr>
        <w:t>本表金额转换为万元时，因四舍五入可能存在尾差。</w:t>
      </w:r>
    </w:p>
    <w:p>
      <w:pPr>
        <w:bidi w:val="0"/>
        <w:rPr>
          <w:rFonts w:hint="eastAsia" w:ascii="仿宋" w:hAnsi="仿宋" w:eastAsia="仿宋" w:cs="仿宋"/>
          <w:b/>
          <w:bCs/>
          <w:sz w:val="22"/>
          <w:szCs w:val="22"/>
        </w:rPr>
        <w:sectPr>
          <w:footerReference r:id="rId17" w:type="default"/>
          <w:pgSz w:w="11906" w:h="16838"/>
          <w:pgMar w:top="1100" w:right="1320" w:bottom="770" w:left="13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5"/>
        <w:tabs>
          <w:tab w:val="left" w:pos="3077"/>
        </w:tabs>
        <w:spacing w:line="616" w:lineRule="exact"/>
        <w:jc w:val="center"/>
        <w:rPr>
          <w:rFonts w:hint="eastAsia"/>
        </w:rPr>
      </w:pPr>
      <w:r>
        <w:rPr>
          <w:rFonts w:hint="eastAsia" w:ascii="仿宋" w:hAnsi="仿宋" w:eastAsia="仿宋" w:cs="仿宋"/>
          <w:b/>
          <w:bCs/>
          <w:sz w:val="44"/>
          <w:szCs w:val="44"/>
        </w:rPr>
        <w:t>第三部分</w:t>
      </w:r>
      <w:r>
        <w:rPr>
          <w:rFonts w:hint="eastAsia" w:ascii="仿宋" w:hAnsi="仿宋" w:eastAsia="仿宋" w:cs="仿宋"/>
          <w:b/>
          <w:bCs/>
          <w:sz w:val="44"/>
          <w:szCs w:val="44"/>
          <w:lang w:val="en-US" w:eastAsia="zh-CN"/>
        </w:rPr>
        <w:t xml:space="preserve"> </w:t>
      </w:r>
      <w:r>
        <w:rPr>
          <w:rFonts w:hint="eastAsia" w:ascii="仿宋" w:hAnsi="仿宋" w:eastAsia="仿宋" w:cs="仿宋"/>
          <w:b/>
          <w:bCs/>
          <w:sz w:val="44"/>
          <w:szCs w:val="44"/>
        </w:rPr>
        <w:t>2020年度</w:t>
      </w:r>
      <w:r>
        <w:rPr>
          <w:rFonts w:ascii="仿宋" w:hAnsi="仿宋" w:cs="仿宋" w:eastAsia="仿宋"/>
          <w:b w:val="true"/>
          <w:sz w:val="44"/>
        </w:rPr>
        <w:t>单位</w:t>
      </w:r>
      <w:r>
        <w:rPr>
          <w:rFonts w:ascii="仿宋" w:hAnsi="仿宋" w:cs="仿宋" w:eastAsia="仿宋"/>
          <w:b w:val="true"/>
          <w:sz w:val="44"/>
        </w:rPr>
        <w:t>决算情况说明</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1" w:after="0" w:line="360" w:lineRule="auto"/>
        <w:ind w:left="348" w:right="420" w:firstLine="640"/>
        <w:jc w:val="both"/>
        <w:textAlignment w:val="auto"/>
        <w:rPr>
          <w:rFonts w:hint="eastAsia" w:ascii="仿宋" w:hAnsi="仿宋" w:eastAsia="仿宋" w:cs="仿宋"/>
          <w:lang w:val="en-US" w:eastAsia="zh-CN"/>
        </w:rPr>
      </w:pP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bCs/>
          <w:lang w:val="en-US" w:eastAsia="zh-CN"/>
        </w:rPr>
      </w:pPr>
      <w:r>
        <w:rPr>
          <w:rFonts w:hint="eastAsia" w:ascii="仿宋" w:hAnsi="仿宋" w:eastAsia="仿宋" w:cs="仿宋"/>
          <w:b/>
          <w:bCs/>
          <w:lang w:val="en-US" w:eastAsia="zh-CN"/>
        </w:rPr>
        <w:t/>
      </w:r>
      <w:r>
        <w:rPr>
          <w:rFonts w:ascii="仿宋" w:hAnsi="仿宋" w:cs="仿宋" w:eastAsia="仿宋"/>
          <w:b w:val="true"/>
        </w:rPr>
        <w:t>一、收入支出决算总体情况说明</w:t>
      </w:r>
      <w:r>
        <w:rPr>
          <w:rFonts w:ascii="仿宋" w:hAnsi="仿宋" w:cs="仿宋" w:eastAsia="仿宋"/>
          <w:b w:val="true"/>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lang w:val="en-US" w:eastAsia="zh-CN"/>
        </w:rPr>
      </w:pPr>
      <w:r>
        <w:rPr>
          <w:rFonts w:hint="eastAsia" w:ascii="仿宋" w:hAnsi="仿宋" w:eastAsia="仿宋" w:cs="仿宋"/>
          <w:lang w:val="en-US" w:eastAsia="zh-CN"/>
        </w:rPr>
        <w:t/>
      </w:r>
      <w:r>
        <w:rPr>
          <w:rFonts w:ascii="仿宋" w:hAnsi="仿宋" w:cs="仿宋" w:eastAsia="仿宋"/>
        </w:rPr>
        <w:t>江苏省无锡交通高等职业技术学校2020年度收入、支出总计16,173.84万元，与上年相比收、支总计各减少608.89万元，减少3.63%。其中：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bCs/>
          <w:lang w:val="en-US"/>
        </w:rPr>
      </w:pPr>
      <w:r>
        <w:rPr>
          <w:rFonts w:hint="eastAsia" w:ascii="仿宋" w:hAnsi="仿宋" w:eastAsia="仿宋" w:cs="仿宋"/>
          <w:b/>
          <w:bCs/>
          <w:lang w:val="en-US"/>
        </w:rPr>
        <w:t/>
      </w:r>
      <w:r>
        <w:rPr>
          <w:rFonts w:ascii="仿宋" w:hAnsi="仿宋" w:cs="仿宋" w:eastAsia="仿宋"/>
          <w:b w:val="true"/>
        </w:rPr>
        <w:t>（一）收入总计16,173.84万元。包括：</w:t>
      </w:r>
      <w:r>
        <w:rPr>
          <w:rFonts w:ascii="仿宋" w:hAnsi="仿宋" w:cs="仿宋" w:eastAsia="仿宋"/>
          <w:b w:val="true"/>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lang w:val="en-US" w:eastAsia="zh-CN"/>
        </w:rPr>
      </w:pPr>
      <w:r>
        <w:rPr>
          <w:rFonts w:hint="eastAsia" w:ascii="仿宋" w:hAnsi="仿宋" w:eastAsia="仿宋" w:cs="仿宋"/>
          <w:lang w:val="en-US" w:eastAsia="zh-CN"/>
        </w:rPr>
        <w:t/>
      </w:r>
      <w:r>
        <w:rPr>
          <w:rFonts w:ascii="仿宋" w:hAnsi="仿宋" w:cs="仿宋" w:eastAsia="仿宋"/>
        </w:rPr>
        <w:t>1．本年收入合计15,670.89万元。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default" w:ascii="仿宋" w:hAnsi="仿宋" w:eastAsia="仿宋" w:cs="仿宋"/>
          <w:lang w:val="en-US" w:eastAsia="zh-CN"/>
        </w:rPr>
      </w:pPr>
      <w:r>
        <w:rPr>
          <w:rFonts w:hint="eastAsia" w:ascii="仿宋" w:hAnsi="仿宋" w:eastAsia="仿宋" w:cs="仿宋"/>
          <w:lang w:val="en-US" w:eastAsia="zh-CN"/>
        </w:rPr>
        <w:t/>
      </w:r>
      <w:r>
        <w:rPr>
          <w:rFonts w:ascii="仿宋" w:hAnsi="仿宋" w:cs="仿宋" w:eastAsia="仿宋"/>
        </w:rPr>
        <w:t>（1）一般公共预算财政拨款收入13,193.29万元，为当年从同级财政取得的一般公共预算拨款，与上年相比增加3,509.92万元，增长36.25%。主要原因是比2019年增加1900万国有资产处置收入、实训基地专项经费收入以及质量提升专项收入。</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default" w:ascii="仿宋" w:hAnsi="仿宋" w:eastAsia="仿宋" w:cs="仿宋"/>
          <w:lang w:val="en-US" w:eastAsia="zh-CN"/>
        </w:rPr>
      </w:pPr>
      <w:r>
        <w:rPr>
          <w:rFonts w:hint="eastAsia" w:ascii="仿宋" w:hAnsi="仿宋" w:eastAsia="仿宋" w:cs="仿宋"/>
          <w:lang w:val="en-US" w:eastAsia="zh-CN"/>
        </w:rPr>
        <w:t/>
      </w:r>
      <w:r>
        <w:rPr>
          <w:rFonts w:ascii="仿宋" w:hAnsi="仿宋" w:cs="仿宋" w:eastAsia="仿宋"/>
        </w:rPr>
        <w:t>（2）政府性基金预算财政拨款收入0万元，为当年从同级财政取得的政府性基金预算拨款，与上年决算数相同。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default" w:ascii="仿宋" w:hAnsi="仿宋" w:eastAsia="仿宋" w:cs="仿宋"/>
          <w:lang w:val="en-US" w:eastAsia="zh-CN"/>
        </w:rPr>
      </w:pPr>
      <w:r>
        <w:rPr>
          <w:rFonts w:hint="eastAsia" w:ascii="仿宋" w:hAnsi="仿宋" w:eastAsia="仿宋" w:cs="仿宋"/>
          <w:lang w:val="en-US" w:eastAsia="zh-CN"/>
        </w:rPr>
        <w:t/>
      </w:r>
      <w:r>
        <w:rPr>
          <w:rFonts w:ascii="仿宋" w:hAnsi="仿宋" w:cs="仿宋" w:eastAsia="仿宋"/>
        </w:rPr>
        <w:t>（3）国有资本经营预算财政拨款收入0万元，为当年从同级财政取得的国有资本经营预算拨款，与上年决算数相同。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default" w:ascii="仿宋" w:hAnsi="仿宋" w:eastAsia="仿宋" w:cs="仿宋"/>
          <w:lang w:val="en-US" w:eastAsia="zh-CN"/>
        </w:rPr>
      </w:pPr>
      <w:r>
        <w:rPr>
          <w:rFonts w:hint="eastAsia" w:ascii="仿宋" w:hAnsi="仿宋" w:eastAsia="仿宋" w:cs="仿宋"/>
          <w:lang w:val="en-US" w:eastAsia="zh-CN"/>
        </w:rPr>
        <w:t/>
      </w:r>
      <w:r>
        <w:rPr>
          <w:rFonts w:ascii="仿宋" w:hAnsi="仿宋" w:cs="仿宋" w:eastAsia="仿宋"/>
        </w:rPr>
        <w:t>（4）上级补助收入0万元，与上年决算数相同。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default" w:ascii="仿宋" w:hAnsi="仿宋" w:eastAsia="仿宋" w:cs="仿宋"/>
          <w:lang w:val="en-US" w:eastAsia="zh-CN"/>
        </w:rPr>
      </w:pPr>
      <w:r>
        <w:rPr>
          <w:rFonts w:hint="eastAsia" w:ascii="仿宋" w:hAnsi="仿宋" w:eastAsia="仿宋" w:cs="仿宋"/>
          <w:lang w:val="en-US" w:eastAsia="zh-CN"/>
        </w:rPr>
        <w:t/>
      </w:r>
      <w:r>
        <w:rPr>
          <w:rFonts w:ascii="仿宋" w:hAnsi="仿宋" w:cs="仿宋" w:eastAsia="仿宋"/>
        </w:rPr>
        <w:t>（5）事业收入2,150万元，为学校开展教育事业业务活动及其辅助活动取得的收入。与上年相比减少250万元，减少10.42%。主要原因是学生数减少，收入相应减少。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default" w:ascii="仿宋" w:hAnsi="仿宋" w:eastAsia="仿宋" w:cs="仿宋"/>
          <w:lang w:val="en-US" w:eastAsia="zh-CN"/>
        </w:rPr>
      </w:pPr>
      <w:r>
        <w:rPr>
          <w:rFonts w:hint="eastAsia" w:ascii="仿宋" w:hAnsi="仿宋" w:eastAsia="仿宋" w:cs="仿宋"/>
          <w:lang w:val="en-US" w:eastAsia="zh-CN"/>
        </w:rPr>
        <w:t/>
      </w:r>
      <w:r>
        <w:rPr>
          <w:rFonts w:ascii="仿宋" w:hAnsi="仿宋" w:cs="仿宋" w:eastAsia="仿宋"/>
        </w:rPr>
        <w:t>（6）经营收入0万元，与上年决算数相同。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default" w:ascii="仿宋" w:hAnsi="仿宋" w:eastAsia="仿宋" w:cs="仿宋"/>
          <w:lang w:val="en-US" w:eastAsia="zh-CN"/>
        </w:rPr>
      </w:pPr>
      <w:r>
        <w:rPr>
          <w:rFonts w:hint="eastAsia" w:ascii="仿宋" w:hAnsi="仿宋" w:eastAsia="仿宋" w:cs="仿宋"/>
          <w:lang w:val="en-US" w:eastAsia="zh-CN"/>
        </w:rPr>
        <w:t/>
      </w:r>
      <w:r>
        <w:rPr>
          <w:rFonts w:ascii="仿宋" w:hAnsi="仿宋" w:cs="仿宋" w:eastAsia="仿宋"/>
        </w:rPr>
        <w:t>（7）附属单位上缴收入0万元，与上年决算数相同。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default" w:ascii="仿宋" w:hAnsi="仿宋" w:eastAsia="仿宋" w:cs="仿宋"/>
          <w:lang w:val="en-US" w:eastAsia="zh-CN"/>
        </w:rPr>
      </w:pPr>
      <w:r>
        <w:rPr>
          <w:rFonts w:hint="eastAsia" w:ascii="仿宋" w:hAnsi="仿宋" w:eastAsia="仿宋" w:cs="仿宋"/>
          <w:lang w:val="en-US" w:eastAsia="zh-CN"/>
        </w:rPr>
        <w:t/>
      </w:r>
      <w:r>
        <w:rPr>
          <w:rFonts w:ascii="仿宋" w:hAnsi="仿宋" w:cs="仿宋" w:eastAsia="仿宋"/>
        </w:rPr>
        <w:t>（8）其他收入327.6万元，为单位取得的除上述收入以外的各项收入，主要为从无锡市教育局、无锡市人力资源和社会保障局等取得的补助收入。与上年相比增加12.1万元，增长3.84%。主要原因是补助项目增多。</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lang w:val="en-US" w:eastAsia="zh-CN"/>
        </w:rPr>
      </w:pPr>
      <w:r>
        <w:rPr>
          <w:rFonts w:hint="eastAsia" w:ascii="仿宋" w:hAnsi="仿宋" w:eastAsia="仿宋" w:cs="仿宋"/>
          <w:lang w:val="en-US" w:eastAsia="zh-CN"/>
        </w:rPr>
        <w:t/>
      </w:r>
      <w:r>
        <w:rPr>
          <w:rFonts w:ascii="仿宋" w:hAnsi="仿宋" w:cs="仿宋" w:eastAsia="仿宋"/>
        </w:rPr>
        <w:t>2．使用非财政拨款结余0万元，为事业单位使用非财政拨款结余（原事业基金）弥补当年收支差额的数额。</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lang w:val="en-US" w:eastAsia="zh-CN"/>
        </w:rPr>
      </w:pPr>
      <w:r>
        <w:rPr>
          <w:rFonts w:hint="eastAsia" w:ascii="仿宋" w:hAnsi="仿宋" w:eastAsia="仿宋" w:cs="仿宋"/>
          <w:lang w:val="en-US" w:eastAsia="zh-CN"/>
        </w:rPr>
        <w:t/>
      </w:r>
      <w:r>
        <w:rPr>
          <w:rFonts w:ascii="仿宋" w:hAnsi="仿宋" w:cs="仿宋" w:eastAsia="仿宋"/>
        </w:rPr>
        <w:t>3．年初结转和结余502.94万元，主要为上年结转本年使用的交通物联网实训基地、教学设备购置等资金。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bCs/>
          <w:lang w:val="en-US"/>
        </w:rPr>
      </w:pPr>
      <w:r>
        <w:rPr>
          <w:rFonts w:hint="eastAsia" w:ascii="仿宋" w:hAnsi="仿宋" w:eastAsia="仿宋" w:cs="仿宋"/>
          <w:b/>
          <w:bCs/>
          <w:lang w:val="en-US"/>
        </w:rPr>
        <w:t/>
      </w:r>
      <w:r>
        <w:rPr>
          <w:rFonts w:ascii="仿宋" w:hAnsi="仿宋" w:cs="仿宋" w:eastAsia="仿宋"/>
          <w:b w:val="true"/>
        </w:rPr>
        <w:t>（二）支出总计16,173.84万元。包括：</w:t>
      </w:r>
      <w:r>
        <w:rPr>
          <w:rFonts w:ascii="仿宋" w:hAnsi="仿宋" w:cs="仿宋" w:eastAsia="仿宋"/>
          <w:b w:val="true"/>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lang w:val="en-US" w:eastAsia="zh-CN"/>
        </w:rPr>
      </w:pPr>
      <w:r>
        <w:rPr>
          <w:rFonts w:hint="eastAsia" w:ascii="仿宋" w:hAnsi="仿宋" w:eastAsia="仿宋" w:cs="仿宋"/>
          <w:lang w:val="en-US" w:eastAsia="zh-CN"/>
        </w:rPr>
        <w:t/>
      </w:r>
      <w:r>
        <w:rPr>
          <w:rFonts w:ascii="仿宋" w:hAnsi="仿宋" w:cs="仿宋" w:eastAsia="仿宋"/>
        </w:rPr>
        <w:t>1．本年支出合计14,389.93万元。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default" w:ascii="仿宋" w:hAnsi="仿宋" w:eastAsia="仿宋" w:cs="仿宋"/>
          <w:lang w:val="en-US" w:eastAsia="zh-CN"/>
        </w:rPr>
      </w:pPr>
      <w:r>
        <w:rPr>
          <w:rFonts w:hint="eastAsia" w:ascii="仿宋" w:hAnsi="仿宋" w:eastAsia="仿宋" w:cs="仿宋"/>
          <w:lang w:val="en-US" w:eastAsia="zh-CN"/>
        </w:rPr>
        <w:t/>
      </w:r>
      <w:r>
        <w:rPr>
          <w:rFonts w:ascii="仿宋" w:hAnsi="仿宋" w:cs="仿宋" w:eastAsia="仿宋"/>
        </w:rPr>
        <w:t>（1）教育（类）支出11,983.41万元，主要用于学校人员经费、公用经费、运转类项目。与上年相比增加827.51万元，增长7.42%。主要原因是教职工增加，学校日常活动增多。</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default" w:ascii="仿宋" w:hAnsi="仿宋" w:eastAsia="仿宋" w:cs="仿宋"/>
          <w:lang w:val="en-US" w:eastAsia="zh-CN"/>
        </w:rPr>
      </w:pPr>
      <w:r>
        <w:rPr>
          <w:rFonts w:hint="eastAsia" w:ascii="仿宋" w:hAnsi="仿宋" w:eastAsia="仿宋" w:cs="仿宋"/>
          <w:lang w:val="en-US" w:eastAsia="zh-CN"/>
        </w:rPr>
        <w:t/>
      </w:r>
      <w:r>
        <w:rPr>
          <w:rFonts w:ascii="仿宋" w:hAnsi="仿宋" w:cs="仿宋" w:eastAsia="仿宋"/>
        </w:rPr>
        <w:t>（2）社会保障和就业（类）支出824.4万元，主要用于在编人员基本养老保险和职业年金。与上年相比减少161.08万元，减少16.35%。主要原因是保障缴款比例调整。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default" w:ascii="仿宋" w:hAnsi="仿宋" w:eastAsia="仿宋" w:cs="仿宋"/>
          <w:lang w:val="en-US" w:eastAsia="zh-CN"/>
        </w:rPr>
      </w:pPr>
      <w:r>
        <w:rPr>
          <w:rFonts w:hint="eastAsia" w:ascii="仿宋" w:hAnsi="仿宋" w:eastAsia="仿宋" w:cs="仿宋"/>
          <w:lang w:val="en-US" w:eastAsia="zh-CN"/>
        </w:rPr>
        <w:t/>
      </w:r>
      <w:r>
        <w:rPr>
          <w:rFonts w:ascii="仿宋" w:hAnsi="仿宋" w:cs="仿宋" w:eastAsia="仿宋"/>
        </w:rPr>
        <w:t>（3）交通运输（类）支出12万元，主要用于交通运输科技与成果转化项目。与上年相比减少312.7万元，减少96.3%。主要原因是上年项目完结，支出减少。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default" w:ascii="仿宋" w:hAnsi="仿宋" w:eastAsia="仿宋" w:cs="仿宋"/>
          <w:lang w:val="en-US" w:eastAsia="zh-CN"/>
        </w:rPr>
      </w:pPr>
      <w:r>
        <w:rPr>
          <w:rFonts w:hint="eastAsia" w:ascii="仿宋" w:hAnsi="仿宋" w:eastAsia="仿宋" w:cs="仿宋"/>
          <w:lang w:val="en-US" w:eastAsia="zh-CN"/>
        </w:rPr>
        <w:t/>
      </w:r>
      <w:r>
        <w:rPr>
          <w:rFonts w:ascii="仿宋" w:hAnsi="仿宋" w:cs="仿宋" w:eastAsia="仿宋"/>
        </w:rPr>
        <w:t>（4）住房保障（类）支出1,570.11万元，主要用于在编人员公积金、提租补贴。与上年相比增加322.3万元，增长25.83%。主要原因是住房公积金、提租补贴缴费基数上调。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lang w:val="en-US" w:eastAsia="zh-CN"/>
        </w:rPr>
      </w:pPr>
      <w:r>
        <w:rPr>
          <w:rFonts w:hint="eastAsia" w:ascii="仿宋" w:hAnsi="仿宋" w:eastAsia="仿宋" w:cs="仿宋"/>
          <w:lang w:val="en-US" w:eastAsia="zh-CN"/>
        </w:rPr>
        <w:t/>
      </w:r>
      <w:r>
        <w:rPr>
          <w:rFonts w:ascii="仿宋" w:hAnsi="仿宋" w:cs="仿宋" w:eastAsia="仿宋"/>
        </w:rPr>
        <w:t>2．结余分配0万元，为单位当年结余的分配情况，与上年决算数相同。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lang w:val="en-US" w:eastAsia="zh-CN"/>
        </w:rPr>
      </w:pPr>
      <w:r>
        <w:rPr>
          <w:rFonts w:hint="eastAsia" w:ascii="仿宋" w:hAnsi="仿宋" w:eastAsia="仿宋" w:cs="仿宋"/>
          <w:lang w:val="en-US" w:eastAsia="zh-CN"/>
        </w:rPr>
        <w:t/>
      </w:r>
      <w:r>
        <w:rPr>
          <w:rFonts w:ascii="仿宋" w:hAnsi="仿宋" w:cs="仿宋" w:eastAsia="仿宋"/>
        </w:rPr>
        <w:t>3．年末结转和结余1,783.91万元，主要为本年度预算安排的焊接实训楼、2020年现代职业教育质量提升计划、实训基地等项目无法按原计划实施，需要延迟到以后年度按有关规定使用的资金。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bCs/>
          <w:lang w:val="en-US"/>
        </w:rPr>
      </w:pPr>
      <w:r>
        <w:rPr>
          <w:rFonts w:hint="eastAsia" w:ascii="仿宋" w:hAnsi="仿宋" w:eastAsia="仿宋" w:cs="仿宋"/>
          <w:b/>
          <w:bCs/>
          <w:lang w:val="en-US"/>
        </w:rPr>
        <w:t/>
      </w:r>
      <w:r>
        <w:rPr>
          <w:rFonts w:ascii="仿宋" w:hAnsi="仿宋" w:cs="仿宋" w:eastAsia="仿宋"/>
          <w:b w:val="true"/>
        </w:rPr>
        <w:t>二、收入决算情况说明</w:t>
      </w:r>
      <w:r>
        <w:rPr>
          <w:rFonts w:ascii="仿宋" w:hAnsi="仿宋" w:cs="仿宋" w:eastAsia="仿宋"/>
          <w:b w:val="true"/>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江苏省无锡交通高等职业技术学校本年收入合计15,670.89万元，其中：财政拨款收入13,193.29万元，占84.19%；上级补助收入0万元，占0%；事业收入2,150万元，占13.72%；经营收入0万元，占0%；附属单位上缴收入0万元，占0%；其他收入327.6万元，占2.09%。</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0" w:leftChars="0" w:right="420" w:firstLine="0"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1" name="Drawing 1" descr="Generated"/>
            <a:graphic xmlns:a="http://schemas.openxmlformats.org/drawingml/2006/main">
              <a:graphicData uri="http://schemas.openxmlformats.org/drawingml/2006/picture">
                <pic:pic xmlns:pic="http://schemas.openxmlformats.org/drawingml/2006/picture">
                  <pic:nvPicPr>
                    <pic:cNvPr id="0" name="Picture 1" descr="Generated"/>
                    <pic:cNvPicPr>
                      <a:picLocks noChangeAspect="true"/>
                    </pic:cNvPicPr>
                  </pic:nvPicPr>
                  <pic:blipFill>
                    <a:blip r:embed="rId23"/>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bCs/>
          <w:lang w:val="en-US"/>
        </w:rPr>
      </w:pPr>
      <w:r>
        <w:rPr>
          <w:rFonts w:hint="eastAsia" w:ascii="仿宋" w:hAnsi="仿宋" w:eastAsia="仿宋" w:cs="仿宋"/>
          <w:b/>
          <w:bCs/>
          <w:lang w:val="en-US"/>
        </w:rPr>
        <w:t/>
      </w:r>
      <w:r>
        <w:rPr>
          <w:rFonts w:ascii="仿宋" w:hAnsi="仿宋" w:cs="仿宋" w:eastAsia="仿宋"/>
          <w:b w:val="true"/>
        </w:rPr>
        <w:t>三、支出决算情况说明</w:t>
      </w:r>
      <w:r>
        <w:rPr>
          <w:rFonts w:ascii="仿宋" w:hAnsi="仿宋" w:cs="仿宋" w:eastAsia="仿宋"/>
          <w:b w:val="true"/>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江苏省无锡交通高等职业技术学校本年支出合计14,389.93万元，其中：基本支出11,296.47万元，占78.5%；项目支出3,093.46万元，占21.5%；上缴上级支出0万元，占0%；经营支出0万元，占0%；对附属单位补助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right="420"/>
        <w:jc w:val="center"/>
        <w:textAlignment w:val="auto"/>
        <w:rPr>
          <w:rFonts w:hint="eastAsia" w:ascii="仿宋" w:hAnsi="仿宋" w:eastAsia="仿宋" w:cs="仿宋"/>
        </w:rPr>
      </w:pPr>
      <w:r>
        <w:rPr>
          <w:rFonts w:hint="eastAsia" w:ascii="仿宋" w:hAnsi="仿宋" w:eastAsia="仿宋" w:cs="仿宋"/>
          <w:lang w:val="en-US" w:eastAsia="zh-CN"/>
        </w:rPr>
        <w:t/>
        <w:drawing>
          <wp:inline distT="0" distR="0" distB="0" distL="0">
            <wp:extent cx="6134100" cy="3429000"/>
            <wp:docPr id="2" name="Drawing 2" descr="Generated"/>
            <a:graphic xmlns:a="http://schemas.openxmlformats.org/drawingml/2006/main">
              <a:graphicData uri="http://schemas.openxmlformats.org/drawingml/2006/picture">
                <pic:pic xmlns:pic="http://schemas.openxmlformats.org/drawingml/2006/picture">
                  <pic:nvPicPr>
                    <pic:cNvPr id="0" name="Picture 2" descr="Generated"/>
                    <pic:cNvPicPr>
                      <a:picLocks noChangeAspect="true"/>
                    </pic:cNvPicPr>
                  </pic:nvPicPr>
                  <pic:blipFill>
                    <a:blip r:embed="rId24"/>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bCs/>
          <w:lang w:val="en-US"/>
        </w:rPr>
      </w:pPr>
      <w:r>
        <w:rPr>
          <w:rFonts w:hint="eastAsia" w:ascii="仿宋" w:hAnsi="仿宋" w:eastAsia="仿宋" w:cs="仿宋"/>
          <w:b/>
          <w:bCs/>
          <w:lang w:val="en-US"/>
        </w:rPr>
        <w:t/>
      </w:r>
      <w:r>
        <w:rPr>
          <w:rFonts w:ascii="仿宋" w:hAnsi="仿宋" w:cs="仿宋" w:eastAsia="仿宋"/>
          <w:b w:val="true"/>
        </w:rPr>
        <w:t>四、财政拨款收入支出决算总体情况说明</w:t>
      </w:r>
      <w:r>
        <w:rPr>
          <w:rFonts w:ascii="仿宋" w:hAnsi="仿宋" w:cs="仿宋" w:eastAsia="仿宋"/>
          <w:b w:val="true"/>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江苏省无锡交通高等职业技术学校2020年度财政拨款收、支总决算13,470.1万元，与上年相比，财政拨款收、支总计各增加1,990.22万元，增长17.34%。主要原因是国有资产处置收入比2019年增加，人员经费和项目经费支出比2019年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bCs/>
          <w:lang w:val="en-US"/>
        </w:rPr>
      </w:pPr>
      <w:r>
        <w:rPr>
          <w:rFonts w:hint="eastAsia" w:ascii="仿宋" w:hAnsi="仿宋" w:eastAsia="仿宋" w:cs="仿宋"/>
          <w:b/>
          <w:bCs/>
          <w:lang w:val="en-US"/>
        </w:rPr>
        <w:t/>
      </w:r>
      <w:r>
        <w:rPr>
          <w:rFonts w:ascii="仿宋" w:hAnsi="仿宋" w:cs="仿宋" w:eastAsia="仿宋"/>
          <w:b w:val="true"/>
        </w:rPr>
        <w:t>五、财政拨款支出决算情况说明</w:t>
      </w:r>
      <w:r>
        <w:rPr>
          <w:rFonts w:ascii="仿宋" w:hAnsi="仿宋" w:cs="仿宋" w:eastAsia="仿宋"/>
          <w:b w:val="true"/>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财政拨款支出决算反映的是一般公共预算、政府性基金预算和国有资本经营预算财政拨款支出的总体情况，既包括使用本年从本级财政取得的拨款发生的支出，也包括使用上年度财政拨款结转和结余资金发生的支出。江苏省无锡交通高等职业技术学校2020年度财政拨款支出11,805.75万元，占本年支出合计的82.04%。江苏省无锡交通高等职业技术学校2020年度财政拨款支出年初预算为11,843.37万元，支出决算为11,805.75万元，完成年初预算的99.68%。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bCs/>
          <w:lang w:val="en-US"/>
        </w:rPr>
      </w:pPr>
      <w:r>
        <w:rPr>
          <w:rFonts w:hint="eastAsia" w:ascii="仿宋" w:hAnsi="仿宋" w:eastAsia="仿宋" w:cs="仿宋"/>
          <w:b/>
          <w:bCs/>
          <w:lang w:val="en-US"/>
        </w:rPr>
        <w:t/>
      </w:r>
      <w:r>
        <w:rPr>
          <w:rFonts w:ascii="仿宋" w:hAnsi="仿宋" w:cs="仿宋" w:eastAsia="仿宋"/>
          <w:b w:val="true"/>
        </w:rPr>
        <w:t>（一）教育支出（类）</w:t>
      </w:r>
      <w:r>
        <w:rPr>
          <w:rFonts w:ascii="仿宋" w:hAnsi="仿宋" w:cs="仿宋" w:eastAsia="仿宋"/>
          <w:b w:val="true"/>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1．职业教育（款）中等职业教育（项）。年初预算为11,018.97万元，支出决算为10,732.89万元，完成年初预算的97.4%，决算数小于预算数的主要原因职业教育（款）中等职业教育（项）年初预算中包含了住房改革支出（款）提租补贴（项）预算231.06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2．职业教育（款）高等职业教育（项）。年初预算为0万元，支出决算为5.4万元，年初预算数为0万元，无法计算完成比率，决算数大于预算数的主要原因资金5.4万元于年中下达。</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bCs/>
          <w:lang w:val="en-US"/>
        </w:rPr>
      </w:pPr>
      <w:r>
        <w:rPr>
          <w:rFonts w:hint="eastAsia" w:ascii="仿宋" w:hAnsi="仿宋" w:eastAsia="仿宋" w:cs="仿宋"/>
          <w:b/>
          <w:bCs/>
          <w:lang w:val="en-US"/>
        </w:rPr>
        <w:t/>
      </w:r>
      <w:r>
        <w:rPr>
          <w:rFonts w:ascii="仿宋" w:hAnsi="仿宋" w:cs="仿宋" w:eastAsia="仿宋"/>
          <w:b w:val="true"/>
        </w:rPr>
        <w:t>（二）社会保障和就业支出（类）</w:t>
      </w:r>
      <w:r>
        <w:rPr>
          <w:rFonts w:ascii="仿宋" w:hAnsi="仿宋" w:cs="仿宋" w:eastAsia="仿宋"/>
          <w:b w:val="true"/>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1．行政事业单位养老支出（款）机关事业单位基本养老保险缴费支出（项）。年初预算为549.6万元，支出决算为549.6万元，完成年初预算的100%。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2．行政事业单位养老支出（款）机关事业单位职业年金缴费支出（项）。年初预算为274.8万元，支出决算为274.8万元，完成年初预算的100%。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bCs/>
          <w:lang w:val="en-US"/>
        </w:rPr>
      </w:pPr>
      <w:r>
        <w:rPr>
          <w:rFonts w:hint="eastAsia" w:ascii="仿宋" w:hAnsi="仿宋" w:eastAsia="仿宋" w:cs="仿宋"/>
          <w:b/>
          <w:bCs/>
          <w:lang w:val="en-US"/>
        </w:rPr>
        <w:t/>
      </w:r>
      <w:r>
        <w:rPr>
          <w:rFonts w:ascii="仿宋" w:hAnsi="仿宋" w:cs="仿宋" w:eastAsia="仿宋"/>
          <w:b w:val="true"/>
        </w:rPr>
        <w:t>（三）交通运输支出（类）</w:t>
      </w:r>
      <w:r>
        <w:rPr>
          <w:rFonts w:ascii="仿宋" w:hAnsi="仿宋" w:cs="仿宋" w:eastAsia="仿宋"/>
          <w:b w:val="true"/>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其他交通运输支出（款）其他交通运输支出（项）。年初预算为0万元，支出决算为12万元，年初预算数为0万元，无法计算完成比率，决算数大于预算数的主要原因资金20万元于年中下达。</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bCs/>
          <w:lang w:val="en-US"/>
        </w:rPr>
      </w:pPr>
      <w:r>
        <w:rPr>
          <w:rFonts w:hint="eastAsia" w:ascii="仿宋" w:hAnsi="仿宋" w:eastAsia="仿宋" w:cs="仿宋"/>
          <w:b/>
          <w:bCs/>
          <w:lang w:val="en-US"/>
        </w:rPr>
        <w:t/>
      </w:r>
      <w:r>
        <w:rPr>
          <w:rFonts w:ascii="仿宋" w:hAnsi="仿宋" w:cs="仿宋" w:eastAsia="仿宋"/>
          <w:b w:val="true"/>
        </w:rPr>
        <w:t>（四）住房保障支出（类）</w:t>
      </w:r>
      <w:r>
        <w:rPr>
          <w:rFonts w:ascii="仿宋" w:hAnsi="仿宋" w:cs="仿宋" w:eastAsia="仿宋"/>
          <w:b w:val="true"/>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住房改革支出（款）提租补贴（项）。年初预算为0万元，支出决算为231.06万元，年初预算数为0万元，无法计算完成比率，决算数大于预算数的主要原因住房改革支出（款）提租补贴（项）年初预算231.06万元包含在职业教育（款）中等职业教育（项）年初预算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bCs/>
          <w:lang w:val="en-US"/>
        </w:rPr>
      </w:pPr>
      <w:r>
        <w:rPr>
          <w:rFonts w:hint="eastAsia" w:ascii="仿宋" w:hAnsi="仿宋" w:eastAsia="仿宋" w:cs="仿宋"/>
          <w:b/>
          <w:bCs/>
          <w:lang w:val="en-US"/>
        </w:rPr>
        <w:t/>
      </w:r>
      <w:r>
        <w:rPr>
          <w:rFonts w:ascii="仿宋" w:hAnsi="仿宋" w:cs="仿宋" w:eastAsia="仿宋"/>
          <w:b w:val="true"/>
        </w:rPr>
        <w:t>六、财政拨款基本支出决算情况说明</w:t>
      </w:r>
      <w:r>
        <w:rPr>
          <w:rFonts w:ascii="仿宋" w:hAnsi="仿宋" w:cs="仿宋" w:eastAsia="仿宋"/>
          <w:b w:val="true"/>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江苏省无锡交通高等职业技术学校2020年度财政拨款基本支出8,752.29万元（金额转换为万元时，因四舍五入存在尾差），其中：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一）人员经费7,216.95万元。主要包括：基本工资、津贴补贴、伙食补助费、绩效工资、机关事业单位基本养老保险缴费、职业年金缴费、职工基本医疗保险缴费、其他社会保障缴费、其他工资福利支出、离休费、退休费、抚恤金、医疗费补助、助学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二）公用经费1,535.34万元。主要包括：办公费、印刷费、咨询费、手续费、水费、电费、邮电费、物业管理费、差旅费、公务接待费、专用材料费、专用燃料费、劳务费、委托业务费、工会经费、福利费、公务用车运行维护费、其他交通费用、其他商品和服务支出、办公设备购置。</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bCs/>
          <w:lang w:val="en-US"/>
        </w:rPr>
      </w:pPr>
      <w:r>
        <w:rPr>
          <w:rFonts w:hint="eastAsia" w:ascii="仿宋" w:hAnsi="仿宋" w:eastAsia="仿宋" w:cs="仿宋"/>
          <w:b/>
          <w:bCs/>
          <w:lang w:val="en-US"/>
        </w:rPr>
        <w:t/>
      </w:r>
      <w:r>
        <w:rPr>
          <w:rFonts w:ascii="仿宋" w:hAnsi="仿宋" w:cs="仿宋" w:eastAsia="仿宋"/>
          <w:b w:val="true"/>
        </w:rPr>
        <w:t>七、一般公共预算财政拨款支出决算情况说明</w:t>
      </w:r>
      <w:r>
        <w:rPr>
          <w:rFonts w:ascii="仿宋" w:hAnsi="仿宋" w:cs="仿宋" w:eastAsia="仿宋"/>
          <w:b w:val="true"/>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般公共预算财政拨款支出决算反映的是一般公共预算财政拨款支出的总体情况，既包括使用本年从本级财政取得的一般公共预算财政拨款发生的支出，也包括使用上年度一般公共预算财政拨款结转和结余资金发生的支出。江苏省无锡交通高等职业技术学校2020年度一般公共预算财政拨款支出11,805.75万元，与上年相比增加602.68万元，增长5.38%。主要原因是人员经费支出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bCs/>
          <w:lang w:val="en-US"/>
        </w:rPr>
      </w:pPr>
      <w:r>
        <w:rPr>
          <w:rFonts w:hint="eastAsia" w:ascii="仿宋" w:hAnsi="仿宋" w:eastAsia="仿宋" w:cs="仿宋"/>
          <w:b/>
          <w:bCs/>
          <w:lang w:val="en-US"/>
        </w:rPr>
        <w:t/>
      </w:r>
      <w:r>
        <w:rPr>
          <w:rFonts w:ascii="仿宋" w:hAnsi="仿宋" w:cs="仿宋" w:eastAsia="仿宋"/>
          <w:b w:val="true"/>
        </w:rPr>
        <w:t>八、一般公共预算财政拨款基本支出决算情况说明</w:t>
      </w:r>
      <w:r>
        <w:rPr>
          <w:rFonts w:ascii="仿宋" w:hAnsi="仿宋" w:cs="仿宋" w:eastAsia="仿宋"/>
          <w:b w:val="true"/>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江苏省无锡交通高等职业技术学校2020年度一般公共预算财政拨款基本支出8,752.29万元（金额转换为万元时，因四舍五入存在尾差），其中：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人员经费7,216.95万元。主要包括：基本工资、津贴补贴、伙食补助费、绩效工资、机关事业单位基本养老保险缴费、职业年金缴费、职工基本医疗保险缴费、其他社会保障缴费、其他工资福利支出、离休费、退休费、抚恤金、医疗费补助、助学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公用经费1,535.34万元。主要包括：办公费、印刷费、咨询费、手续费、水费、电费、邮电费、物业管理费、差旅费、公务接待费、专用材料费、专用燃料费、劳务费、委托业务费、工会经费、福利费、公务用车运行维护费、其他交通费用、其他商品和服务支出、办公设备购置。</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bCs/>
          <w:lang w:val="en-US"/>
        </w:rPr>
      </w:pPr>
      <w:r>
        <w:rPr>
          <w:rFonts w:hint="eastAsia" w:ascii="仿宋" w:hAnsi="仿宋" w:eastAsia="仿宋" w:cs="仿宋"/>
          <w:b/>
          <w:bCs/>
          <w:lang w:val="en-US"/>
        </w:rPr>
        <w:t/>
      </w:r>
      <w:r>
        <w:rPr>
          <w:rFonts w:ascii="仿宋" w:hAnsi="仿宋" w:cs="仿宋" w:eastAsia="仿宋"/>
          <w:b w:val="true"/>
        </w:rPr>
        <w:t>九、一般公共预算财政拨款“三公”经费、会议费、培训费支出情况说明</w:t>
      </w:r>
      <w:r>
        <w:rPr>
          <w:rFonts w:ascii="仿宋" w:hAnsi="仿宋" w:cs="仿宋" w:eastAsia="仿宋"/>
          <w:b w:val="true"/>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江苏省无锡交通高等职业技术学校2020年度一般公共预算拨款安排的“三公”经费决算支出中，因公出国（境）费支出0万元，占“三公”经费的0%；公务用车购置及运行维护费支出5.59万元，占“三公”经费的65.08%；公务接待费支出3万元，占“三公”经费的34.92%。具体情况如下：</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1．因公出国（境）费决算支出0万元，年初预算数为0万元，无法计算完成比率，与上年决算数相同，与本年预算数相同，全年使用一般公共预算拨款支出安排的出国（境）团组0个，累计0人次。</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2．公务用车购置及运行维护费支出5.59万元。其中：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（1）公务用车购置决算支出0万元，年初预算数为0万元，无法计算完成比率，与上年决算数相同，与本年预算数相同。本年度使用一般公共预算拨款购置公务用车0辆。</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2）公务用车运行维护费决算支出5.59万元，完成年初预算的99.82%，比上年决算增加0.17万元，主要原因为车辆保养费用增加；决算数小于预算数的主要原因严控支出，落实过紧日子要求。公务用车运行维护费主要用于公车的日常保养；2020年度使用一般公共预算拨款开支运行维护费的公务用车保有量2辆。</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公务接待费3万元，完成年初预算的10%，比上年决算减少6.38万元，主要原因为疫情原因减少公务接待；决算数小于预算数的主要原因严控支出，落实过紧日子要求。其中：国内公务接待支出3万元，接待32批次，244人次，主要为接待有关企业、院校、行政机关人员来访；国（境）外公务接待支出0万元，接待0批次，0人次。</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苏省无锡交通高等职业技术学校2020年度一般公共预算拨款安排的会议费决算支出0万元，年初预算数为0万元，无法计算完成比率，与上年决算数相同，与本年预算数相同，2020年度全年召开会议0个，参加会议0人次。</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苏省无锡交通高等职业技术学校2020年度一般公共预算拨款安排的培训费决算支出0万元，年初预算数为0万元，无法计算完成比率，与上年决算数相同，与本年预算数相同，2020年度全年组织培训0个，组织培训0人次。</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bCs/>
          <w:lang w:val="en-US"/>
        </w:rPr>
      </w:pPr>
      <w:r>
        <w:rPr>
          <w:rFonts w:hint="eastAsia" w:ascii="仿宋" w:hAnsi="仿宋" w:eastAsia="仿宋" w:cs="仿宋"/>
          <w:b/>
          <w:bCs/>
          <w:lang w:val="en-US"/>
        </w:rPr>
        <w:t/>
      </w:r>
      <w:r>
        <w:rPr>
          <w:rFonts w:ascii="仿宋" w:hAnsi="仿宋" w:cs="仿宋" w:eastAsia="仿宋"/>
          <w:b w:val="true"/>
        </w:rPr>
        <w:t>十、政府性基金预算财政拨款收入支出决算情况说明</w:t>
      </w:r>
      <w:r>
        <w:rPr>
          <w:rFonts w:ascii="仿宋" w:hAnsi="仿宋" w:cs="仿宋" w:eastAsia="仿宋"/>
          <w:b w:val="true"/>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江苏省无锡交通高等职业技术学校2020年度政府性基金预算财政拨款年初结转和结余0万元，本年收入决算0万元，本年支出决算0万元，年末结转和结余0万元。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bCs/>
          <w:lang w:val="en-US"/>
        </w:rPr>
      </w:pPr>
      <w:r>
        <w:rPr>
          <w:rFonts w:hint="eastAsia" w:ascii="仿宋" w:hAnsi="仿宋" w:eastAsia="仿宋" w:cs="仿宋"/>
          <w:b/>
          <w:bCs/>
          <w:lang w:val="en-US"/>
        </w:rPr>
        <w:t/>
      </w:r>
      <w:r>
        <w:rPr>
          <w:rFonts w:ascii="仿宋" w:hAnsi="仿宋" w:cs="仿宋" w:eastAsia="仿宋"/>
          <w:b w:val="true"/>
        </w:rPr>
        <w:t>十一、一般公共预算机关运行经费支出决算情况说明</w:t>
      </w:r>
      <w:r>
        <w:rPr>
          <w:rFonts w:ascii="仿宋" w:hAnsi="仿宋" w:cs="仿宋" w:eastAsia="仿宋"/>
          <w:b w:val="true"/>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2020年度本单位机关运行经费支出0万元，与上年决算数相同。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bCs/>
          <w:lang w:val="en-US"/>
        </w:rPr>
      </w:pPr>
      <w:r>
        <w:rPr>
          <w:rFonts w:hint="eastAsia" w:ascii="仿宋" w:hAnsi="仿宋" w:eastAsia="仿宋" w:cs="仿宋"/>
          <w:b/>
          <w:bCs/>
          <w:lang w:val="en-US"/>
        </w:rPr>
        <w:t/>
      </w:r>
      <w:r>
        <w:rPr>
          <w:rFonts w:ascii="仿宋" w:hAnsi="仿宋" w:cs="仿宋" w:eastAsia="仿宋"/>
          <w:b w:val="true"/>
        </w:rPr>
        <w:t>十二、政府采购支出决算情况说明</w:t>
      </w:r>
      <w:r>
        <w:rPr>
          <w:rFonts w:ascii="仿宋" w:hAnsi="仿宋" w:cs="仿宋" w:eastAsia="仿宋"/>
          <w:b w:val="true"/>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2020年度政府采购支出总额1,300.08万元，其中：政府采购货物支出426.35万元、政府采购工程支出772.67万元、政府采购服务支出101.06万元。授予中小企业合同金额995.46万元，占政府采购支出总额的76.57%，其中：授予小微企业合同金额304.62万元，占政府采购支出总额的23.43%。</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bCs/>
          <w:lang w:val="en-US"/>
        </w:rPr>
      </w:pPr>
      <w:r>
        <w:rPr>
          <w:rFonts w:hint="eastAsia" w:ascii="仿宋" w:hAnsi="仿宋" w:eastAsia="仿宋" w:cs="仿宋"/>
          <w:b/>
          <w:bCs/>
          <w:lang w:val="en-US"/>
        </w:rPr>
        <w:t/>
      </w:r>
      <w:r>
        <w:rPr>
          <w:rFonts w:ascii="仿宋" w:hAnsi="仿宋" w:cs="仿宋" w:eastAsia="仿宋"/>
          <w:b w:val="true"/>
        </w:rPr>
        <w:t>十三、国有资产占用情况说明</w:t>
      </w:r>
      <w:r>
        <w:rPr>
          <w:rFonts w:ascii="仿宋" w:hAnsi="仿宋" w:cs="仿宋" w:eastAsia="仿宋"/>
          <w:b w:val="true"/>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单位共有车辆2辆，其中，副部（省）级及以上领导用车0辆、主要领导干部用车0辆、机要通信用车0辆、应急保障用车0辆、执法执勤用车0辆、特种专业用车0辆、离退休干部用车0辆，其他用车2辆，其他用车主要是学校业务保障用车;单价50万元（含）以上的通用设备5台（套），单价100万元（含）以上的专用设备6台（套）。</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bCs/>
          <w:lang w:val="en-US"/>
        </w:rPr>
      </w:pPr>
      <w:r>
        <w:rPr>
          <w:rFonts w:hint="eastAsia" w:ascii="仿宋" w:hAnsi="仿宋" w:eastAsia="仿宋" w:cs="仿宋"/>
          <w:b/>
          <w:bCs/>
          <w:lang w:val="en-US"/>
        </w:rPr>
        <w:t/>
      </w:r>
      <w:r>
        <w:rPr>
          <w:rFonts w:ascii="仿宋" w:hAnsi="仿宋" w:cs="仿宋" w:eastAsia="仿宋"/>
          <w:b w:val="true"/>
        </w:rPr>
        <w:t>十四、预算绩效评价工作开展情况</w:t>
      </w:r>
      <w:r>
        <w:rPr>
          <w:rFonts w:ascii="仿宋" w:hAnsi="仿宋" w:cs="仿宋" w:eastAsia="仿宋"/>
          <w:b w:val="true"/>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2020年度，本单位共0个项目开展了财政重点绩效评价，涉及财政性资金合计0万元；本单位开展财政整体支出重点绩效评价，涉及财政性资金11,805.75万元；本单位共0个项目开展了单位绩效自评，涉及财政性资金合计0万元。</w:t>
      </w:r>
      <w:r>
        <w:rPr>
          <w:rFonts w:ascii="仿宋" w:hAnsi="仿宋" w:cs="仿宋" w:eastAsia="仿宋"/>
        </w:rPr>
        <w:t/>
      </w:r>
    </w:p>
    <w:p>
      <w:pPr>
        <w:keepNext w:val="0"/>
        <w:keepLines w:val="0"/>
        <w:pageBreakBefore w:val="0"/>
        <w:widowControl w:val="0"/>
        <w:kinsoku/>
        <w:wordWrap/>
        <w:overflowPunct w:val="0"/>
        <w:topLinePunct w:val="0"/>
        <w:autoSpaceDE/>
        <w:autoSpaceDN/>
        <w:bidi w:val="0"/>
        <w:adjustRightInd/>
        <w:snapToGrid/>
        <w:ind w:left="440" w:leftChars="200" w:firstLine="453" w:firstLineChars="206"/>
        <w:textAlignment w:val="auto"/>
        <w:rPr>
          <w:rFonts w:hint="eastAsia" w:ascii="仿宋" w:hAnsi="仿宋" w:eastAsia="仿宋" w:cs="仿宋"/>
          <w:lang w:val="en-US" w:eastAsia="zh-CN"/>
        </w:rPr>
      </w:pPr>
      <w:r>
        <w:rPr>
          <w:rFonts w:hint="eastAsia" w:ascii="仿宋" w:hAnsi="仿宋" w:eastAsia="仿宋" w:cs="仿宋"/>
          <w:lang w:val="en-US" w:eastAsia="zh-CN"/>
        </w:rPr>
        <w:br w:type="page"/>
      </w:r>
    </w:p>
    <w:p>
      <w:pPr>
        <w:pStyle w:val="8"/>
        <w:tabs>
          <w:tab w:val="left" w:pos="3864"/>
          <w:tab w:val="left" w:pos="6248"/>
          <w:tab w:val="left" w:pos="7386"/>
        </w:tabs>
        <w:spacing w:before="1" w:after="0" w:line="336" w:lineRule="auto"/>
        <w:ind w:left="348" w:right="420" w:firstLine="640"/>
        <w:jc w:val="both"/>
        <w:rPr>
          <w:rFonts w:hint="eastAsia" w:ascii="仿宋" w:hAnsi="仿宋" w:eastAsia="仿宋" w:cs="仿宋"/>
          <w:lang w:val="en-US" w:eastAsia="zh-CN"/>
        </w:rPr>
        <w:sectPr>
          <w:footerReference r:id="rId18" w:type="default"/>
          <w:pgSz w:w="11906" w:h="16838"/>
          <w:pgMar w:top="1580" w:right="820" w:bottom="770" w:left="90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8"/>
        <w:tabs>
          <w:tab w:val="left" w:pos="3864"/>
          <w:tab w:val="left" w:pos="6248"/>
          <w:tab w:val="left" w:pos="7386"/>
        </w:tabs>
        <w:spacing w:before="0" w:after="0" w:line="240" w:lineRule="auto"/>
        <w:ind w:left="0" w:right="0" w:firstLine="0"/>
        <w:jc w:val="center"/>
        <w:rPr>
          <w:rFonts w:hint="eastAsia" w:ascii="仿宋" w:hAnsi="仿宋" w:eastAsia="仿宋" w:cs="仿宋"/>
          <w:b/>
          <w:bCs/>
          <w:sz w:val="36"/>
          <w:szCs w:val="36"/>
        </w:rPr>
      </w:pPr>
      <w:r>
        <w:rPr>
          <w:rFonts w:hint="eastAsia" w:ascii="仿宋" w:hAnsi="仿宋" w:eastAsia="仿宋" w:cs="仿宋"/>
          <w:b/>
          <w:bCs/>
          <w:sz w:val="36"/>
          <w:szCs w:val="36"/>
        </w:rPr>
        <w:t>第四部分 名词解释</w:t>
      </w:r>
    </w:p>
    <w:p>
      <w:pPr>
        <w:pStyle w:val="8"/>
        <w:tabs>
          <w:tab w:val="left" w:pos="3864"/>
          <w:tab w:val="left" w:pos="6248"/>
          <w:tab w:val="left" w:pos="7386"/>
        </w:tabs>
        <w:spacing w:before="0" w:after="0" w:line="240" w:lineRule="auto"/>
        <w:ind w:left="440" w:leftChars="200" w:right="0" w:firstLine="659" w:firstLineChars="206"/>
        <w:jc w:val="both"/>
        <w:rPr>
          <w:rFonts w:hint="eastAsia" w:ascii="仿宋" w:hAnsi="仿宋" w:eastAsia="仿宋" w:cs="仿宋"/>
        </w:rPr>
      </w:pP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一、财政拨款收入</w:t>
      </w:r>
      <w:r>
        <w:rPr>
          <w:rFonts w:ascii="仿宋" w:hAnsi="仿宋" w:cs="仿宋" w:eastAsia="仿宋"/>
          <w:b w:val="true"/>
        </w:rPr>
        <w:t>：</w:t>
      </w:r>
      <w:r>
        <w:rPr>
          <w:rFonts w:hint="eastAsia" w:ascii="仿宋" w:hAnsi="仿宋" w:eastAsia="仿宋" w:cs="仿宋"/>
        </w:rPr>
        <w:t>指单位本年度从同级财政部门取得的各类财政拨款。</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二、上级补助收入</w:t>
      </w:r>
      <w:r>
        <w:rPr>
          <w:rFonts w:ascii="仿宋" w:hAnsi="仿宋" w:cs="仿宋" w:eastAsia="仿宋"/>
          <w:b w:val="true"/>
        </w:rPr>
        <w:t>：</w:t>
      </w:r>
      <w:r>
        <w:rPr>
          <w:rFonts w:hint="eastAsia" w:ascii="仿宋" w:hAnsi="仿宋" w:eastAsia="仿宋" w:cs="仿宋"/>
        </w:rPr>
        <w:t>指事业单位从主管部门和上级单位取得的非财政补助收入。</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三、事业收入</w:t>
      </w:r>
      <w:r>
        <w:rPr>
          <w:rFonts w:ascii="仿宋" w:hAnsi="仿宋" w:cs="仿宋" w:eastAsia="仿宋"/>
          <w:b w:val="true"/>
        </w:rPr>
        <w:t>：</w:t>
      </w:r>
      <w:r>
        <w:rPr>
          <w:rFonts w:hint="eastAsia" w:ascii="仿宋" w:hAnsi="仿宋" w:eastAsia="仿宋" w:cs="仿宋"/>
        </w:rPr>
        <w:t>指事业单位开展专业业务活动及其辅助活动取得的收入，事业单位收到的财政专户实际核拨的教育收费等资金在此反映。</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四、经营收入</w:t>
      </w:r>
      <w:r>
        <w:rPr>
          <w:rFonts w:ascii="仿宋" w:hAnsi="仿宋" w:cs="仿宋" w:eastAsia="仿宋"/>
          <w:b w:val="true"/>
        </w:rPr>
        <w:t>：</w:t>
      </w:r>
      <w:r>
        <w:rPr>
          <w:rFonts w:hint="eastAsia" w:ascii="仿宋" w:hAnsi="仿宋" w:eastAsia="仿宋" w:cs="仿宋"/>
        </w:rPr>
        <w:t>指事业单位在专业业务活动及其辅助活动之外开展非独立核算经营活动取得的收入。</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五、附属单位上缴收入</w:t>
      </w:r>
      <w:r>
        <w:rPr>
          <w:rFonts w:ascii="仿宋" w:hAnsi="仿宋" w:cs="仿宋" w:eastAsia="仿宋"/>
          <w:b w:val="true"/>
        </w:rPr>
        <w:t>：</w:t>
      </w:r>
      <w:r>
        <w:rPr>
          <w:rFonts w:hint="eastAsia" w:ascii="仿宋" w:hAnsi="仿宋" w:eastAsia="仿宋" w:cs="仿宋"/>
        </w:rPr>
        <w:t>指事业单位附属独立核算单位按照有关规定上缴的收入。</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六、其他收入</w:t>
      </w:r>
      <w:r>
        <w:rPr>
          <w:rFonts w:ascii="仿宋" w:hAnsi="仿宋" w:cs="仿宋" w:eastAsia="仿宋"/>
          <w:b w:val="true"/>
        </w:rPr>
        <w:t>：</w:t>
      </w:r>
      <w:r>
        <w:rPr>
          <w:rFonts w:hint="eastAsia" w:ascii="仿宋" w:hAnsi="仿宋" w:eastAsia="仿宋" w:cs="仿宋"/>
        </w:rPr>
        <w:t>指单位取得的除上述“财政拨款收入”、“事业收入”、“经营收入”等以外的各项收入。</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七、使用非财政拨款结余</w:t>
      </w:r>
      <w:r>
        <w:rPr>
          <w:rFonts w:ascii="仿宋" w:hAnsi="仿宋" w:cs="仿宋" w:eastAsia="仿宋"/>
          <w:b w:val="true"/>
        </w:rPr>
        <w:t>：</w:t>
      </w:r>
      <w:r>
        <w:rPr>
          <w:rFonts w:hint="eastAsia" w:ascii="仿宋" w:hAnsi="仿宋" w:eastAsia="仿宋" w:cs="仿宋"/>
        </w:rPr>
        <w:t>指事业单位使用非财政拨款结余（原事业基金）弥补当年收支差额的数额。</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八、年初结转和结余</w:t>
      </w:r>
      <w:r>
        <w:rPr>
          <w:rFonts w:ascii="仿宋" w:hAnsi="仿宋" w:cs="仿宋" w:eastAsia="仿宋"/>
          <w:b w:val="true"/>
        </w:rPr>
        <w:t>：</w:t>
      </w:r>
      <w:r>
        <w:rPr>
          <w:rFonts w:hint="eastAsia" w:ascii="仿宋" w:hAnsi="仿宋" w:eastAsia="仿宋" w:cs="仿宋"/>
        </w:rPr>
        <w:t>指单位上年结转本年使用的基本支出结转、项目支出结转和结余和经营结余。</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九、结余分配</w:t>
      </w:r>
      <w:r>
        <w:rPr>
          <w:rFonts w:ascii="仿宋" w:hAnsi="仿宋" w:cs="仿宋" w:eastAsia="仿宋"/>
          <w:b w:val="true"/>
        </w:rPr>
        <w:t>：</w:t>
      </w:r>
      <w:r>
        <w:rPr>
          <w:rFonts w:hint="eastAsia" w:ascii="仿宋" w:hAnsi="仿宋" w:eastAsia="仿宋" w:cs="仿宋"/>
        </w:rPr>
        <w:t>指事业单位按规定对非财政拨款结余资金提取的专用基金、缴纳的所得税和转入非财政拨款结余等。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十、年末结转和结余资金</w:t>
      </w:r>
      <w:r>
        <w:rPr>
          <w:rFonts w:ascii="仿宋" w:hAnsi="仿宋" w:cs="仿宋" w:eastAsia="仿宋"/>
          <w:b w:val="true"/>
        </w:rPr>
        <w:t>：</w:t>
      </w:r>
      <w:r>
        <w:rPr>
          <w:rFonts w:hint="eastAsia" w:ascii="仿宋" w:hAnsi="仿宋" w:eastAsia="仿宋" w:cs="仿宋"/>
        </w:rPr>
        <w:t>指本年度或以前年度预算安排、因客观条件发生变化无法按原计划实施，需要延迟到以后年度按有关规定继续使用的资金。</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十一、基本支出</w:t>
      </w:r>
      <w:r>
        <w:rPr>
          <w:rFonts w:ascii="仿宋" w:hAnsi="仿宋" w:cs="仿宋" w:eastAsia="仿宋"/>
          <w:b w:val="true"/>
        </w:rPr>
        <w:t>：</w:t>
      </w:r>
      <w:r>
        <w:rPr>
          <w:rFonts w:hint="eastAsia" w:ascii="仿宋" w:hAnsi="仿宋" w:eastAsia="仿宋" w:cs="仿宋"/>
        </w:rPr>
        <w:t>指为保障机构正常运转、完成日常工作任务而发生的支出，包括人员经费和公用经费。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十二、项目支出</w:t>
      </w:r>
      <w:r>
        <w:rPr>
          <w:rFonts w:ascii="仿宋" w:hAnsi="仿宋" w:cs="仿宋" w:eastAsia="仿宋"/>
          <w:b w:val="true"/>
        </w:rPr>
        <w:t>：</w:t>
      </w:r>
      <w:r>
        <w:rPr>
          <w:rFonts w:hint="eastAsia" w:ascii="仿宋" w:hAnsi="仿宋" w:eastAsia="仿宋" w:cs="仿宋"/>
        </w:rPr>
        <w:t>指在为完成特定的工作任务和事业发展目标所发生的支出。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十三、上缴上级支出</w:t>
      </w:r>
      <w:r>
        <w:rPr>
          <w:rFonts w:ascii="仿宋" w:hAnsi="仿宋" w:cs="仿宋" w:eastAsia="仿宋"/>
          <w:b w:val="true"/>
        </w:rPr>
        <w:t>：</w:t>
      </w:r>
      <w:r>
        <w:rPr>
          <w:rFonts w:hint="eastAsia" w:ascii="仿宋" w:hAnsi="仿宋" w:eastAsia="仿宋" w:cs="仿宋"/>
        </w:rPr>
        <w:t>指事业单位按照财政部门和主管部门的规定上缴上级单位的支出。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十四、经营支出</w:t>
      </w:r>
      <w:r>
        <w:rPr>
          <w:rFonts w:ascii="仿宋" w:hAnsi="仿宋" w:cs="仿宋" w:eastAsia="仿宋"/>
          <w:b w:val="true"/>
        </w:rPr>
        <w:t>：</w:t>
      </w:r>
      <w:r>
        <w:rPr>
          <w:rFonts w:hint="eastAsia" w:ascii="仿宋" w:hAnsi="仿宋" w:eastAsia="仿宋" w:cs="仿宋"/>
        </w:rPr>
        <w:t>指事业单位在专业业务活动及其辅助活动之外开展非独立核算经营活动发生的支出。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十五、对附属单位补助支出</w:t>
      </w:r>
      <w:r>
        <w:rPr>
          <w:rFonts w:ascii="仿宋" w:hAnsi="仿宋" w:cs="仿宋" w:eastAsia="仿宋"/>
          <w:b w:val="true"/>
        </w:rPr>
        <w:t>：</w:t>
      </w:r>
      <w:r>
        <w:rPr>
          <w:rFonts w:hint="eastAsia" w:ascii="仿宋" w:hAnsi="仿宋" w:eastAsia="仿宋" w:cs="仿宋"/>
        </w:rPr>
        <w:t>指事业单位用财政拨款收入之外的收入对附属单位补助发生的支出。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十六、“三公”经费</w:t>
      </w:r>
      <w:r>
        <w:rPr>
          <w:rFonts w:ascii="仿宋" w:hAnsi="仿宋" w:cs="仿宋" w:eastAsia="仿宋"/>
          <w:b w:val="true"/>
        </w:rPr>
        <w:t>：</w:t>
      </w:r>
      <w:r>
        <w:rPr>
          <w:rFonts w:hint="eastAsia" w:ascii="仿宋" w:hAnsi="仿宋" w:eastAsia="仿宋" w:cs="仿宋"/>
        </w:rPr>
        <w:t>指单位用一般公共预算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购置支出（含车辆购置税、牌照费）以及按规定保留的公务用车燃料费、维修费、过路过桥费、保险费、安全奖励费用等支出；公务接待费反映单位按规定开支的各类公务接待（含外宾接待）费用。</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十七、机关运行经费</w:t>
      </w:r>
      <w:r>
        <w:rPr>
          <w:rFonts w:ascii="仿宋" w:hAnsi="仿宋" w:cs="仿宋" w:eastAsia="仿宋"/>
          <w:b w:val="true"/>
        </w:rPr>
        <w:t>：</w:t>
      </w:r>
      <w:r>
        <w:rPr>
          <w:rFonts w:hint="eastAsia" w:ascii="仿宋" w:hAnsi="仿宋" w:eastAsia="仿宋" w:cs="仿宋"/>
        </w:rPr>
        <w:t>指行政单位（含参照公务员法管理的事业单位）使用一般公共预算安排的基本支出中的公用经费支出，包括办公及印刷费、邮电费、差旅费、会议费、福利费、日常维修费、专用材料及一般设备购置费、办公用房水电费、办公用房取暖费、办公用房物业管理费、公务用车运行维护费及其他费用。</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十八、教育支出(类)职业教育(款)中等职业教育(项)</w:t>
      </w:r>
      <w:r>
        <w:rPr>
          <w:rFonts w:ascii="仿宋" w:hAnsi="仿宋" w:cs="仿宋" w:eastAsia="仿宋"/>
          <w:b w:val="true"/>
        </w:rPr>
        <w:t>：</w:t>
      </w:r>
      <w:r>
        <w:rPr>
          <w:rFonts w:hint="eastAsia" w:ascii="仿宋" w:hAnsi="仿宋" w:eastAsia="仿宋" w:cs="仿宋"/>
        </w:rPr>
        <w:t>反映各部门（不含人力资源社会保障部门）举办的中等职业学校支出。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十九、教育支出(类)职业教育(款)高等职业教育(项)</w:t>
      </w:r>
      <w:r>
        <w:rPr>
          <w:rFonts w:ascii="仿宋" w:hAnsi="仿宋" w:cs="仿宋" w:eastAsia="仿宋"/>
          <w:b w:val="true"/>
        </w:rPr>
        <w:t>：</w:t>
      </w:r>
      <w:r>
        <w:rPr>
          <w:rFonts w:hint="eastAsia" w:ascii="仿宋" w:hAnsi="仿宋" w:eastAsia="仿宋" w:cs="仿宋"/>
        </w:rPr>
        <w:t>反映经国家批准设立的高等职业大学、专科职业教育等方面的支出。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二十、社会保障和就业支出(类)行政事业单位养老支出(款)机关事业单位基本养老保险缴费支出(项)</w:t>
      </w:r>
      <w:r>
        <w:rPr>
          <w:rFonts w:ascii="仿宋" w:hAnsi="仿宋" w:cs="仿宋" w:eastAsia="仿宋"/>
          <w:b w:val="true"/>
        </w:rPr>
        <w:t>：</w:t>
      </w:r>
      <w:r>
        <w:rPr>
          <w:rFonts w:hint="eastAsia" w:ascii="仿宋" w:hAnsi="仿宋" w:eastAsia="仿宋" w:cs="仿宋"/>
        </w:rPr>
        <w:t>反映机关事业单位实施养老保险制度由单位缴纳的基本养老保险费支出。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二十一、社会保障和就业支出(类)行政事业单位养老支出(款)机关事业单位职业年金缴费支出(项)</w:t>
      </w:r>
      <w:r>
        <w:rPr>
          <w:rFonts w:ascii="仿宋" w:hAnsi="仿宋" w:cs="仿宋" w:eastAsia="仿宋"/>
          <w:b w:val="true"/>
        </w:rPr>
        <w:t>：</w:t>
      </w:r>
      <w:r>
        <w:rPr>
          <w:rFonts w:hint="eastAsia" w:ascii="仿宋" w:hAnsi="仿宋" w:eastAsia="仿宋" w:cs="仿宋"/>
        </w:rPr>
        <w:t>反映机关事业单位实施养老保险制度由单位实际缴纳的职业年金支出。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二十二、交通运输支出(类)其他交通运输支出(款)其他交通运输支出(项)</w:t>
      </w:r>
      <w:r>
        <w:rPr>
          <w:rFonts w:ascii="仿宋" w:hAnsi="仿宋" w:cs="仿宋" w:eastAsia="仿宋"/>
          <w:b w:val="true"/>
        </w:rPr>
        <w:t>：</w:t>
      </w:r>
      <w:r>
        <w:rPr>
          <w:rFonts w:hint="eastAsia" w:ascii="仿宋" w:hAnsi="仿宋" w:eastAsia="仿宋" w:cs="仿宋"/>
        </w:rPr>
        <w:t>反映其他交通运输支出中除对公共交通运营补助以外的其他支出。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二十三、住房保障支出(类)住房改革支出(款)住房公积金(项)</w:t>
      </w:r>
      <w:r>
        <w:rPr>
          <w:rFonts w:ascii="仿宋" w:hAnsi="仿宋" w:cs="仿宋" w:eastAsia="仿宋"/>
          <w:b w:val="true"/>
        </w:rPr>
        <w:t>：</w:t>
      </w:r>
      <w:r>
        <w:rPr>
          <w:rFonts w:hint="eastAsia" w:ascii="仿宋" w:hAnsi="仿宋" w:eastAsia="仿宋" w:cs="仿宋"/>
        </w:rPr>
        <w:t>反映行政事业单位按人力资源和社会保障部、财政部规定的基本工资和津贴补贴以及规定比例为职工缴纳的住房公积金。</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二十四、住房保障支出(类)住房改革支出(款)提租补贴(项)</w:t>
      </w:r>
      <w:r>
        <w:rPr>
          <w:rFonts w:ascii="仿宋" w:hAnsi="仿宋" w:cs="仿宋" w:eastAsia="仿宋"/>
          <w:b w:val="true"/>
        </w:rPr>
        <w:t>：</w:t>
      </w:r>
      <w:r>
        <w:rPr>
          <w:rFonts w:hint="eastAsia" w:ascii="仿宋" w:hAnsi="仿宋" w:eastAsia="仿宋" w:cs="仿宋"/>
        </w:rPr>
        <w:t>反映按房改政策规定的标准，行政事业单位向职工（含离退休人员）发放的租金补贴。</w:t>
      </w:r>
    </w:p>
    <w:sectPr>
      <w:type w:val="continuous"/>
      <w:pgSz w:w="11906" w:h="16838"/>
      <w:pgMar w:top="1580" w:right="820" w:bottom="770" w:left="900" w:header="0" w:footer="280" w:gutter="0"/>
      <w:pgBorders>
        <w:top w:val="none" w:sz="0" w:space="0"/>
        <w:left w:val="none" w:sz="0" w:space="0"/>
        <w:bottom w:val="none" w:sz="0" w:space="0"/>
        <w:right w:val="none" w:sz="0" w:space="0"/>
      </w:pgBorders>
      <w:pgNumType w:fmt="numberInDash"/>
      <w:cols w:space="720" w:num="1"/>
      <w:formProt w:val="0"/>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Liberation Sans">
    <w:panose1 w:val="020B0604020202020204"/>
    <w:charset w:val="86"/>
    <w:family w:val="roman"/>
    <w:pitch w:val="default"/>
    <w:sig w:usb0="E0000AFF" w:usb1="500078FF" w:usb2="00000021" w:usb3="00000000" w:csb0="600001BF" w:csb1="DFF70000"/>
  </w:font>
  <w:font w:name="Liberation Mono">
    <w:panose1 w:val="02070409020205020404"/>
    <w:charset w:val="86"/>
    <w:family w:val="roman"/>
    <w:pitch w:val="default"/>
    <w:sig w:usb0="E0000AFF" w:usb1="400078FF" w:usb2="00000001" w:usb3="00000000" w:csb0="600001BF" w:csb1="DFF70000"/>
  </w:font>
  <w:font w:name="新宋体">
    <w:panose1 w:val="02010609030101010101"/>
    <w:charset w:val="86"/>
    <w:family w:val="auto"/>
    <w:pitch w:val="default"/>
    <w:sig w:usb0="0000028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roman"/>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5" o:spid="_x0000_s4105" o:spt="202" type="#_x0000_t202" style="position:absolute;left:0pt;margin-top:0pt;height:144pt;width:144pt;mso-position-horizontal:center;mso-position-horizontal-relative:margin;mso-wrap-style:none;z-index:25166745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6" o:spid="_x0000_s4106" o:spt="202" type="#_x0000_t202" style="position:absolute;left:0pt;margin-top:0pt;height:144pt;width:144pt;mso-position-horizontal:center;mso-position-horizontal-relative:margin;mso-wrap-style:none;z-index:25166848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7" o:spid="_x0000_s4107" o:spt="202" type="#_x0000_t202" style="position:absolute;left:0pt;margin-top:0pt;height:144pt;width:144pt;mso-position-horizontal:center;mso-position-horizontal-relative:margin;mso-wrap-style:none;z-index:25166950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p>
            </w:txbxContent>
          </v:textbox>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8" o:spid="_x0000_s4108" o:spt="202" type="#_x0000_t202" style="position:absolute;left:0pt;margin-top:0pt;height:144pt;width:144pt;mso-position-horizontal:center;mso-position-horizontal-relative:margin;mso-wrap-style:none;z-index:25167052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15</w:t>
                </w:r>
                <w:r>
                  <w:rPr>
                    <w:rFonts w:hint="eastAsia"/>
                    <w:lang w:eastAsia="zh-CN"/>
                  </w:rPr>
                  <w:fldChar w:fldCharType="end"/>
                </w:r>
              </w:p>
            </w:txbxContent>
          </v:textbox>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0" o:spid="_x0000_s4110" o:spt="202" type="#_x0000_t202" style="position:absolute;left:0pt;margin-top:0pt;height:144pt;width:144pt;mso-position-horizontal:center;mso-position-horizontal-relative:margin;mso-wrap-style:none;z-index:25167155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16</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1" o:spid="_x0000_s4111"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2" o:spid="_x0000_s4112"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099" o:spid="_x0000_s4099"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0" o:spid="_x0000_s4100"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1" o:spid="_x0000_s4101"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2" o:spid="_x0000_s4102"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3" o:spid="_x0000_s4103"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4" o:spid="_x0000_s4104"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000000" w:sz="4" w:space="1"/>
      </w:pBdr>
      <w:jc w:val="both"/>
      <w:rPr>
        <w:rFonts w:hint="default" w:eastAsia="Arial Unicode MS"/>
        <w:lang w:val="en-US" w:eastAsia="zh-CN"/>
      </w:rPr>
    </w:pPr>
    <w:r>
      <w:rPr>
        <w:rFonts w:hint="eastAsia"/>
        <w:lang w:val="en-US" w:eastAsia="zh-CN"/>
      </w:rPr>
      <w:t>江苏省无锡交通高等职业技术学校</w:t>
    </w:r>
    <w:r>
      <w:t>2020年度部门决算公开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63D8E2"/>
    <w:multiLevelType w:val="singleLevel"/>
    <w:tmpl w:val="9A63D8E2"/>
    <w:lvl w:ilvl="0" w:tentative="0">
      <w:start w:val="2"/>
      <w:numFmt w:val="decimal"/>
      <w:lvlText w:val="%1."/>
      <w:lvlJc w:val="left"/>
      <w:pPr>
        <w:tabs>
          <w:tab w:val="left" w:pos="312"/>
        </w:tabs>
        <w:ind w:left="1058" w:leftChars="0" w:firstLine="0" w:firstLineChars="0"/>
      </w:pPr>
    </w:lvl>
  </w:abstractNum>
  <w:abstractNum w:abstractNumId="1">
    <w:nsid w:val="B5CD9CBE"/>
    <w:multiLevelType w:val="singleLevel"/>
    <w:tmpl w:val="B5CD9CBE"/>
    <w:lvl w:ilvl="0" w:tentative="0">
      <w:start w:val="1"/>
      <w:numFmt w:val="decimal"/>
      <w:lvlText w:val="%1."/>
      <w:lvlJc w:val="left"/>
      <w:pPr>
        <w:tabs>
          <w:tab w:val="left" w:pos="312"/>
        </w:tabs>
      </w:pPr>
      <w:rPr>
        <w:rFonts w:hint="default"/>
      </w:rPr>
    </w:lvl>
  </w:abstractNum>
  <w:abstractNum w:abstractNumId="2">
    <w:nsid w:val="BCEBFC23"/>
    <w:multiLevelType w:val="singleLevel"/>
    <w:tmpl w:val="BCEBFC23"/>
    <w:lvl w:ilvl="0" w:tentative="0">
      <w:start w:val="2"/>
      <w:numFmt w:val="decimal"/>
      <w:lvlText w:val="%1."/>
      <w:lvlJc w:val="left"/>
      <w:pPr>
        <w:tabs>
          <w:tab w:val="left" w:pos="312"/>
        </w:tabs>
      </w:pPr>
    </w:lvl>
  </w:abstractNum>
  <w:abstractNum w:abstractNumId="3">
    <w:nsid w:val="D35CEB36"/>
    <w:multiLevelType w:val="singleLevel"/>
    <w:tmpl w:val="D35CEB36"/>
    <w:lvl w:ilvl="0" w:tentative="0">
      <w:start w:val="2"/>
      <w:numFmt w:val="decimal"/>
      <w:lvlText w:val="%1."/>
      <w:lvlJc w:val="left"/>
      <w:pPr>
        <w:tabs>
          <w:tab w:val="left" w:pos="312"/>
        </w:tabs>
        <w:ind w:left="498" w:leftChars="0" w:firstLine="0" w:firstLineChars="0"/>
      </w:pPr>
    </w:lvl>
  </w:abstractNum>
  <w:abstractNum w:abstractNumId="4">
    <w:nsid w:val="2B7DC955"/>
    <w:multiLevelType w:val="singleLevel"/>
    <w:tmpl w:val="2B7DC955"/>
    <w:lvl w:ilvl="0" w:tentative="0">
      <w:start w:val="2"/>
      <w:numFmt w:val="decimal"/>
      <w:lvlText w:val="%1."/>
      <w:lvlJc w:val="left"/>
      <w:pPr>
        <w:tabs>
          <w:tab w:val="left" w:pos="312"/>
        </w:tabs>
        <w:ind w:left="669" w:leftChars="0" w:firstLine="0" w:firstLineChars="0"/>
      </w:pPr>
    </w:lvl>
  </w:abstractNum>
  <w:abstractNum w:abstractNumId="5">
    <w:nsid w:val="325C14DC"/>
    <w:multiLevelType w:val="singleLevel"/>
    <w:tmpl w:val="325C14DC"/>
    <w:lvl w:ilvl="0" w:tentative="0">
      <w:start w:val="2"/>
      <w:numFmt w:val="decimal"/>
      <w:lvlText w:val="%1."/>
      <w:lvlJc w:val="left"/>
      <w:pPr>
        <w:tabs>
          <w:tab w:val="left" w:pos="312"/>
        </w:tabs>
      </w:pPr>
    </w:lvl>
  </w:abstractNum>
  <w:abstractNum w:abstractNumId="6">
    <w:nsid w:val="38CB0B28"/>
    <w:multiLevelType w:val="singleLevel"/>
    <w:tmpl w:val="38CB0B28"/>
    <w:lvl w:ilvl="0" w:tentative="0">
      <w:start w:val="2"/>
      <w:numFmt w:val="decimal"/>
      <w:lvlText w:val="%1."/>
      <w:lvlJc w:val="left"/>
      <w:pPr>
        <w:tabs>
          <w:tab w:val="left" w:pos="312"/>
        </w:tabs>
      </w:pPr>
    </w:lvl>
  </w:abstractNum>
  <w:abstractNum w:abstractNumId="7">
    <w:nsid w:val="471B8B78"/>
    <w:multiLevelType w:val="singleLevel"/>
    <w:tmpl w:val="471B8B78"/>
    <w:lvl w:ilvl="0" w:tentative="0">
      <w:start w:val="2"/>
      <w:numFmt w:val="decimal"/>
      <w:lvlText w:val="%1."/>
      <w:lvlJc w:val="left"/>
      <w:pPr>
        <w:tabs>
          <w:tab w:val="left" w:pos="312"/>
        </w:tabs>
        <w:ind w:left="1197" w:leftChars="0" w:firstLine="0" w:firstLineChars="0"/>
      </w:pPr>
    </w:lvl>
  </w:abstractNum>
  <w:abstractNum w:abstractNumId="8">
    <w:nsid w:val="69700013"/>
    <w:multiLevelType w:val="singleLevel"/>
    <w:tmpl w:val="69700013"/>
    <w:lvl w:ilvl="0" w:tentative="0">
      <w:start w:val="2"/>
      <w:numFmt w:val="decimal"/>
      <w:lvlText w:val="%1."/>
      <w:lvlJc w:val="left"/>
      <w:pPr>
        <w:tabs>
          <w:tab w:val="left" w:pos="312"/>
        </w:tabs>
      </w:pPr>
    </w:lvl>
  </w:abstractNum>
  <w:abstractNum w:abstractNumId="9">
    <w:nsid w:val="6CDE4512"/>
    <w:multiLevelType w:val="singleLevel"/>
    <w:tmpl w:val="6CDE4512"/>
    <w:lvl w:ilvl="0" w:tentative="0">
      <w:start w:val="2"/>
      <w:numFmt w:val="decimal"/>
      <w:lvlText w:val="%1."/>
      <w:lvlJc w:val="left"/>
      <w:pPr>
        <w:tabs>
          <w:tab w:val="left" w:pos="312"/>
        </w:tabs>
      </w:pPr>
    </w:lvl>
  </w:abstractNum>
  <w:abstractNum w:abstractNumId="10">
    <w:nsid w:val="73305834"/>
    <w:multiLevelType w:val="singleLevel"/>
    <w:tmpl w:val="73305834"/>
    <w:lvl w:ilvl="0" w:tentative="0">
      <w:start w:val="2"/>
      <w:numFmt w:val="decimal"/>
      <w:lvlText w:val="%1."/>
      <w:lvlJc w:val="left"/>
      <w:pPr>
        <w:tabs>
          <w:tab w:val="left" w:pos="312"/>
        </w:tabs>
      </w:pPr>
      <w:rPr>
        <w:rFonts w:hint="default"/>
      </w:rPr>
    </w:lvl>
  </w:abstractNum>
  <w:num w:numId="1">
    <w:abstractNumId w:val="2"/>
  </w:num>
  <w:num w:numId="2">
    <w:abstractNumId w:val="9"/>
  </w:num>
  <w:num w:numId="3">
    <w:abstractNumId w:val="1"/>
  </w:num>
  <w:num w:numId="4">
    <w:abstractNumId w:val="3"/>
  </w:num>
  <w:num w:numId="5">
    <w:abstractNumId w:val="8"/>
  </w:num>
  <w:num w:numId="6">
    <w:abstractNumId w:val="0"/>
  </w:num>
  <w:num w:numId="7">
    <w:abstractNumId w:val="4"/>
  </w:num>
  <w:num w:numId="8">
    <w:abstractNumId w:val="5"/>
  </w:num>
  <w:num w:numId="9">
    <w:abstractNumId w:val="7"/>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val="0"/>
  <w:bordersDoNotSurroundFooter w:val="0"/>
  <w:documentProtection w:enforcement="0"/>
  <w:defaultTabStop w:val="0"/>
  <w:autoHyphenation/>
  <w:displayHorizontalDrawingGridEvery w:val="1"/>
  <w:displayVerticalDrawingGridEvery w:val="1"/>
  <w:noPunctuationKerning w:val="1"/>
  <w:characterSpacingControl w:val="doNotCompress"/>
  <w:hdrShapeDefaults>
    <o:shapelayout v:ext="edit">
      <o:idmap v:ext="edit" data="3,4"/>
    </o:shapelayout>
  </w:hdrShapeDefaults>
  <w:compat>
    <w:doNotExpandShiftReturn/>
    <w:doNotWrapTextWithPunct/>
    <w:doNotUseEastAsianBreakRules/>
    <w:useFELayout/>
    <w:doNotUseIndentAsNumberingTabStop/>
    <w:useAltKinsokuLineBreakRules/>
    <w:compatSetting w:name="compatibilityMode" w:uri="http://schemas.microsoft.com/office/word" w:val="12"/>
  </w:compat>
  <w:rsids>
    <w:rsidRoot w:val="00000000"/>
    <w:rsid w:val="00064984"/>
    <w:rsid w:val="00071789"/>
    <w:rsid w:val="000F12AB"/>
    <w:rsid w:val="001C31F9"/>
    <w:rsid w:val="00407CA7"/>
    <w:rsid w:val="00413AD8"/>
    <w:rsid w:val="00671ED7"/>
    <w:rsid w:val="00672164"/>
    <w:rsid w:val="00867423"/>
    <w:rsid w:val="008B5B05"/>
    <w:rsid w:val="009965EA"/>
    <w:rsid w:val="00A6752E"/>
    <w:rsid w:val="00BD7F33"/>
    <w:rsid w:val="00C15920"/>
    <w:rsid w:val="00C82582"/>
    <w:rsid w:val="00FA3233"/>
    <w:rsid w:val="010F1E77"/>
    <w:rsid w:val="01875334"/>
    <w:rsid w:val="018E7014"/>
    <w:rsid w:val="019803DB"/>
    <w:rsid w:val="01C22655"/>
    <w:rsid w:val="01D4677F"/>
    <w:rsid w:val="01F17DF5"/>
    <w:rsid w:val="023277C7"/>
    <w:rsid w:val="02420B21"/>
    <w:rsid w:val="026604FF"/>
    <w:rsid w:val="027F398B"/>
    <w:rsid w:val="02A822D0"/>
    <w:rsid w:val="02B14230"/>
    <w:rsid w:val="02D43672"/>
    <w:rsid w:val="02DD471D"/>
    <w:rsid w:val="02E8449D"/>
    <w:rsid w:val="02F513AC"/>
    <w:rsid w:val="03121471"/>
    <w:rsid w:val="033F3F8A"/>
    <w:rsid w:val="03673847"/>
    <w:rsid w:val="03690F36"/>
    <w:rsid w:val="03793778"/>
    <w:rsid w:val="039F7320"/>
    <w:rsid w:val="03F86EFB"/>
    <w:rsid w:val="04156348"/>
    <w:rsid w:val="044E689B"/>
    <w:rsid w:val="045E5FB7"/>
    <w:rsid w:val="0495610D"/>
    <w:rsid w:val="04DF580C"/>
    <w:rsid w:val="04EA46EB"/>
    <w:rsid w:val="05185546"/>
    <w:rsid w:val="052126A9"/>
    <w:rsid w:val="05247FC3"/>
    <w:rsid w:val="05346113"/>
    <w:rsid w:val="05423E9C"/>
    <w:rsid w:val="05600A24"/>
    <w:rsid w:val="057525F6"/>
    <w:rsid w:val="05843580"/>
    <w:rsid w:val="05AB4AE4"/>
    <w:rsid w:val="05BD2716"/>
    <w:rsid w:val="05C73A91"/>
    <w:rsid w:val="05DB339C"/>
    <w:rsid w:val="05FE3016"/>
    <w:rsid w:val="06006806"/>
    <w:rsid w:val="060D1C4C"/>
    <w:rsid w:val="061C50DF"/>
    <w:rsid w:val="06542957"/>
    <w:rsid w:val="0681129C"/>
    <w:rsid w:val="0695552F"/>
    <w:rsid w:val="06C87B62"/>
    <w:rsid w:val="072A453E"/>
    <w:rsid w:val="073A470E"/>
    <w:rsid w:val="07520D7A"/>
    <w:rsid w:val="075575FE"/>
    <w:rsid w:val="07580A5A"/>
    <w:rsid w:val="07656047"/>
    <w:rsid w:val="077C711D"/>
    <w:rsid w:val="079361A1"/>
    <w:rsid w:val="07C509DD"/>
    <w:rsid w:val="08031AA7"/>
    <w:rsid w:val="0806186F"/>
    <w:rsid w:val="083B723A"/>
    <w:rsid w:val="08913758"/>
    <w:rsid w:val="08A333FC"/>
    <w:rsid w:val="08D342E7"/>
    <w:rsid w:val="08FC0605"/>
    <w:rsid w:val="09165D85"/>
    <w:rsid w:val="096204B4"/>
    <w:rsid w:val="096B0C35"/>
    <w:rsid w:val="09891979"/>
    <w:rsid w:val="098926B4"/>
    <w:rsid w:val="09984875"/>
    <w:rsid w:val="09E82283"/>
    <w:rsid w:val="09EB3C7D"/>
    <w:rsid w:val="09F45579"/>
    <w:rsid w:val="09FE0C6E"/>
    <w:rsid w:val="0A112BB9"/>
    <w:rsid w:val="0A1D215F"/>
    <w:rsid w:val="0A2639C8"/>
    <w:rsid w:val="0A3F45FE"/>
    <w:rsid w:val="0A7F08D2"/>
    <w:rsid w:val="0A964BFD"/>
    <w:rsid w:val="0ADA70C2"/>
    <w:rsid w:val="0AFD463B"/>
    <w:rsid w:val="0B05614C"/>
    <w:rsid w:val="0B134992"/>
    <w:rsid w:val="0B160131"/>
    <w:rsid w:val="0B392278"/>
    <w:rsid w:val="0B813D25"/>
    <w:rsid w:val="0B89728A"/>
    <w:rsid w:val="0BAC43D1"/>
    <w:rsid w:val="0BCF6DAD"/>
    <w:rsid w:val="0BF41C52"/>
    <w:rsid w:val="0C047996"/>
    <w:rsid w:val="0C2215AA"/>
    <w:rsid w:val="0C6536DB"/>
    <w:rsid w:val="0C797590"/>
    <w:rsid w:val="0CD230A9"/>
    <w:rsid w:val="0CD65166"/>
    <w:rsid w:val="0CDB2BBC"/>
    <w:rsid w:val="0CE84C0B"/>
    <w:rsid w:val="0CEF2113"/>
    <w:rsid w:val="0CEF2581"/>
    <w:rsid w:val="0D05225F"/>
    <w:rsid w:val="0D261419"/>
    <w:rsid w:val="0D617032"/>
    <w:rsid w:val="0D6C5D61"/>
    <w:rsid w:val="0D760FDB"/>
    <w:rsid w:val="0D7F345D"/>
    <w:rsid w:val="0DAC0D2B"/>
    <w:rsid w:val="0DD06A00"/>
    <w:rsid w:val="0DFC3CDF"/>
    <w:rsid w:val="0DFD772C"/>
    <w:rsid w:val="0DFF5826"/>
    <w:rsid w:val="0E1F1C4F"/>
    <w:rsid w:val="0E27451D"/>
    <w:rsid w:val="0E5E7568"/>
    <w:rsid w:val="0E662847"/>
    <w:rsid w:val="0E94230E"/>
    <w:rsid w:val="0EFE25F0"/>
    <w:rsid w:val="0F807B33"/>
    <w:rsid w:val="0F8F17E6"/>
    <w:rsid w:val="0FB02B15"/>
    <w:rsid w:val="0FB21F29"/>
    <w:rsid w:val="0FB47D1E"/>
    <w:rsid w:val="0FCE598D"/>
    <w:rsid w:val="0FEF37CA"/>
    <w:rsid w:val="100928FC"/>
    <w:rsid w:val="1027035F"/>
    <w:rsid w:val="102A69EF"/>
    <w:rsid w:val="103D6600"/>
    <w:rsid w:val="106204CB"/>
    <w:rsid w:val="10A90FB7"/>
    <w:rsid w:val="110C3973"/>
    <w:rsid w:val="110D47B0"/>
    <w:rsid w:val="11110225"/>
    <w:rsid w:val="111930E1"/>
    <w:rsid w:val="11252430"/>
    <w:rsid w:val="1143676B"/>
    <w:rsid w:val="11471791"/>
    <w:rsid w:val="117C1012"/>
    <w:rsid w:val="11872569"/>
    <w:rsid w:val="11AB09B5"/>
    <w:rsid w:val="11C36B1F"/>
    <w:rsid w:val="11C52DC5"/>
    <w:rsid w:val="11F221C7"/>
    <w:rsid w:val="11F2605E"/>
    <w:rsid w:val="11F724E3"/>
    <w:rsid w:val="122227BF"/>
    <w:rsid w:val="12313173"/>
    <w:rsid w:val="12313682"/>
    <w:rsid w:val="128157F4"/>
    <w:rsid w:val="12B566A2"/>
    <w:rsid w:val="12C448B1"/>
    <w:rsid w:val="12F05187"/>
    <w:rsid w:val="13142710"/>
    <w:rsid w:val="1335650B"/>
    <w:rsid w:val="133E1FA2"/>
    <w:rsid w:val="139377AA"/>
    <w:rsid w:val="13A44407"/>
    <w:rsid w:val="13E2730D"/>
    <w:rsid w:val="13F85ED3"/>
    <w:rsid w:val="140626B0"/>
    <w:rsid w:val="140C350F"/>
    <w:rsid w:val="14207DA2"/>
    <w:rsid w:val="142101C9"/>
    <w:rsid w:val="143164E8"/>
    <w:rsid w:val="14341A45"/>
    <w:rsid w:val="146856DB"/>
    <w:rsid w:val="14933F94"/>
    <w:rsid w:val="14AA0D30"/>
    <w:rsid w:val="14BA3B44"/>
    <w:rsid w:val="1504334D"/>
    <w:rsid w:val="15664CCA"/>
    <w:rsid w:val="159E0364"/>
    <w:rsid w:val="15B93CF7"/>
    <w:rsid w:val="15D36B14"/>
    <w:rsid w:val="16053674"/>
    <w:rsid w:val="16146EAD"/>
    <w:rsid w:val="161A451C"/>
    <w:rsid w:val="161E395E"/>
    <w:rsid w:val="1621543B"/>
    <w:rsid w:val="163E1726"/>
    <w:rsid w:val="167F1A6B"/>
    <w:rsid w:val="16971C37"/>
    <w:rsid w:val="16BE14E7"/>
    <w:rsid w:val="16BE34FA"/>
    <w:rsid w:val="16ED632E"/>
    <w:rsid w:val="1717031D"/>
    <w:rsid w:val="175D47C3"/>
    <w:rsid w:val="17BC2D29"/>
    <w:rsid w:val="1808589E"/>
    <w:rsid w:val="18272F04"/>
    <w:rsid w:val="18473583"/>
    <w:rsid w:val="188B47DF"/>
    <w:rsid w:val="18916DBC"/>
    <w:rsid w:val="18AA3C15"/>
    <w:rsid w:val="18C07826"/>
    <w:rsid w:val="18C77023"/>
    <w:rsid w:val="18FD3C01"/>
    <w:rsid w:val="19195D82"/>
    <w:rsid w:val="194A216C"/>
    <w:rsid w:val="19517451"/>
    <w:rsid w:val="196D1879"/>
    <w:rsid w:val="199D3E22"/>
    <w:rsid w:val="19A676CD"/>
    <w:rsid w:val="19B34CEE"/>
    <w:rsid w:val="19C57B31"/>
    <w:rsid w:val="19CE54E8"/>
    <w:rsid w:val="19DA0E66"/>
    <w:rsid w:val="1A0868DE"/>
    <w:rsid w:val="1A386BB6"/>
    <w:rsid w:val="1A3E0B9C"/>
    <w:rsid w:val="1A641248"/>
    <w:rsid w:val="1A6B178B"/>
    <w:rsid w:val="1AD90120"/>
    <w:rsid w:val="1AEB035A"/>
    <w:rsid w:val="1AF0114F"/>
    <w:rsid w:val="1B136BC2"/>
    <w:rsid w:val="1B1C5890"/>
    <w:rsid w:val="1B363B76"/>
    <w:rsid w:val="1B394ECA"/>
    <w:rsid w:val="1B6F2A95"/>
    <w:rsid w:val="1B7011A6"/>
    <w:rsid w:val="1B894395"/>
    <w:rsid w:val="1BC84BF9"/>
    <w:rsid w:val="1BE008E5"/>
    <w:rsid w:val="1BE426E0"/>
    <w:rsid w:val="1BEF5EDC"/>
    <w:rsid w:val="1BF3045F"/>
    <w:rsid w:val="1C171374"/>
    <w:rsid w:val="1C4928ED"/>
    <w:rsid w:val="1C706707"/>
    <w:rsid w:val="1C8F4549"/>
    <w:rsid w:val="1C9B1094"/>
    <w:rsid w:val="1C9D7829"/>
    <w:rsid w:val="1CA25487"/>
    <w:rsid w:val="1CD53375"/>
    <w:rsid w:val="1CD770E1"/>
    <w:rsid w:val="1CDF3C35"/>
    <w:rsid w:val="1CED64E7"/>
    <w:rsid w:val="1CF655C7"/>
    <w:rsid w:val="1CF70CE3"/>
    <w:rsid w:val="1D0E4D1B"/>
    <w:rsid w:val="1D201166"/>
    <w:rsid w:val="1D5A4782"/>
    <w:rsid w:val="1D623037"/>
    <w:rsid w:val="1D7C0925"/>
    <w:rsid w:val="1D817975"/>
    <w:rsid w:val="1D951979"/>
    <w:rsid w:val="1DAF110E"/>
    <w:rsid w:val="1DB61054"/>
    <w:rsid w:val="1DC94431"/>
    <w:rsid w:val="1E107489"/>
    <w:rsid w:val="1E120047"/>
    <w:rsid w:val="1E2456FC"/>
    <w:rsid w:val="1E387717"/>
    <w:rsid w:val="1E5227F5"/>
    <w:rsid w:val="1E5B1486"/>
    <w:rsid w:val="1E6C2CB1"/>
    <w:rsid w:val="1E86604F"/>
    <w:rsid w:val="1E8B2478"/>
    <w:rsid w:val="1EA55F87"/>
    <w:rsid w:val="1EBB4C20"/>
    <w:rsid w:val="1EC57AB3"/>
    <w:rsid w:val="1ECE40F1"/>
    <w:rsid w:val="1EF93282"/>
    <w:rsid w:val="1EFC05DA"/>
    <w:rsid w:val="1F242409"/>
    <w:rsid w:val="1F342CDC"/>
    <w:rsid w:val="1F5838AB"/>
    <w:rsid w:val="1F721347"/>
    <w:rsid w:val="1F724421"/>
    <w:rsid w:val="1F8B39C7"/>
    <w:rsid w:val="1FA17CC2"/>
    <w:rsid w:val="1FD866E0"/>
    <w:rsid w:val="1FEA282E"/>
    <w:rsid w:val="1FF92872"/>
    <w:rsid w:val="1FFE4976"/>
    <w:rsid w:val="200945DD"/>
    <w:rsid w:val="200B03E4"/>
    <w:rsid w:val="200E293D"/>
    <w:rsid w:val="201802D4"/>
    <w:rsid w:val="20571955"/>
    <w:rsid w:val="20594713"/>
    <w:rsid w:val="20632091"/>
    <w:rsid w:val="20900DEF"/>
    <w:rsid w:val="209B6228"/>
    <w:rsid w:val="20CA3D8E"/>
    <w:rsid w:val="20F544F1"/>
    <w:rsid w:val="2148186B"/>
    <w:rsid w:val="21776D10"/>
    <w:rsid w:val="218F0CEB"/>
    <w:rsid w:val="21EA64FE"/>
    <w:rsid w:val="223F0861"/>
    <w:rsid w:val="227347E3"/>
    <w:rsid w:val="227D4749"/>
    <w:rsid w:val="22B66C67"/>
    <w:rsid w:val="22B96619"/>
    <w:rsid w:val="22C9349D"/>
    <w:rsid w:val="22CF4CB9"/>
    <w:rsid w:val="22E5714F"/>
    <w:rsid w:val="23073234"/>
    <w:rsid w:val="23153D35"/>
    <w:rsid w:val="231859C4"/>
    <w:rsid w:val="233651B2"/>
    <w:rsid w:val="233C5C01"/>
    <w:rsid w:val="23655593"/>
    <w:rsid w:val="23873CA0"/>
    <w:rsid w:val="23A668C2"/>
    <w:rsid w:val="23F81D1C"/>
    <w:rsid w:val="24004EF0"/>
    <w:rsid w:val="24361C71"/>
    <w:rsid w:val="2455798C"/>
    <w:rsid w:val="246E4FE1"/>
    <w:rsid w:val="247771B1"/>
    <w:rsid w:val="24797436"/>
    <w:rsid w:val="24893698"/>
    <w:rsid w:val="248A0DA1"/>
    <w:rsid w:val="248B0DC9"/>
    <w:rsid w:val="24EF440E"/>
    <w:rsid w:val="25191A92"/>
    <w:rsid w:val="25290357"/>
    <w:rsid w:val="253C3B25"/>
    <w:rsid w:val="255F5B0A"/>
    <w:rsid w:val="25664EB1"/>
    <w:rsid w:val="2573629D"/>
    <w:rsid w:val="257B7E43"/>
    <w:rsid w:val="25A7022D"/>
    <w:rsid w:val="25E2513A"/>
    <w:rsid w:val="25F45922"/>
    <w:rsid w:val="25FD2F48"/>
    <w:rsid w:val="262E21CA"/>
    <w:rsid w:val="26713F63"/>
    <w:rsid w:val="26753166"/>
    <w:rsid w:val="267C5A99"/>
    <w:rsid w:val="2682148D"/>
    <w:rsid w:val="268D22B5"/>
    <w:rsid w:val="269240CC"/>
    <w:rsid w:val="269A47B4"/>
    <w:rsid w:val="26EC7F5B"/>
    <w:rsid w:val="27175BDC"/>
    <w:rsid w:val="271E071C"/>
    <w:rsid w:val="272B00CD"/>
    <w:rsid w:val="27381EB7"/>
    <w:rsid w:val="275E5E47"/>
    <w:rsid w:val="27924AA1"/>
    <w:rsid w:val="27962E21"/>
    <w:rsid w:val="279768B3"/>
    <w:rsid w:val="279A19EA"/>
    <w:rsid w:val="27B911ED"/>
    <w:rsid w:val="27D27F60"/>
    <w:rsid w:val="27E744FA"/>
    <w:rsid w:val="27F83B89"/>
    <w:rsid w:val="27FE146D"/>
    <w:rsid w:val="283E36E3"/>
    <w:rsid w:val="284675E2"/>
    <w:rsid w:val="284E0B22"/>
    <w:rsid w:val="28543497"/>
    <w:rsid w:val="28630B61"/>
    <w:rsid w:val="286C012F"/>
    <w:rsid w:val="289B5942"/>
    <w:rsid w:val="28B77612"/>
    <w:rsid w:val="28BB465F"/>
    <w:rsid w:val="29012269"/>
    <w:rsid w:val="291451AB"/>
    <w:rsid w:val="29157417"/>
    <w:rsid w:val="29285E0F"/>
    <w:rsid w:val="29505C1F"/>
    <w:rsid w:val="297158AB"/>
    <w:rsid w:val="29807966"/>
    <w:rsid w:val="29C02FCD"/>
    <w:rsid w:val="29C63807"/>
    <w:rsid w:val="29EB45D3"/>
    <w:rsid w:val="2A0312F6"/>
    <w:rsid w:val="2A07685B"/>
    <w:rsid w:val="2A2569D8"/>
    <w:rsid w:val="2A2F7528"/>
    <w:rsid w:val="2A3E46F3"/>
    <w:rsid w:val="2A7975D0"/>
    <w:rsid w:val="2A7B46D0"/>
    <w:rsid w:val="2A7E694A"/>
    <w:rsid w:val="2A88405F"/>
    <w:rsid w:val="2AC03F74"/>
    <w:rsid w:val="2ACD4D90"/>
    <w:rsid w:val="2ADC43C4"/>
    <w:rsid w:val="2AE07B98"/>
    <w:rsid w:val="2B1B36C2"/>
    <w:rsid w:val="2B7A42C1"/>
    <w:rsid w:val="2B82668D"/>
    <w:rsid w:val="2BBF0C02"/>
    <w:rsid w:val="2BDD28EB"/>
    <w:rsid w:val="2BF43094"/>
    <w:rsid w:val="2BF909AA"/>
    <w:rsid w:val="2C0757B7"/>
    <w:rsid w:val="2C660130"/>
    <w:rsid w:val="2CB9711D"/>
    <w:rsid w:val="2CF3363A"/>
    <w:rsid w:val="2D000C25"/>
    <w:rsid w:val="2D0F4DB4"/>
    <w:rsid w:val="2D2D36A5"/>
    <w:rsid w:val="2D365B16"/>
    <w:rsid w:val="2D5646DC"/>
    <w:rsid w:val="2D6D2070"/>
    <w:rsid w:val="2D9D0838"/>
    <w:rsid w:val="2DB652A4"/>
    <w:rsid w:val="2DB943B8"/>
    <w:rsid w:val="2DBB2419"/>
    <w:rsid w:val="2DBF7001"/>
    <w:rsid w:val="2DC26166"/>
    <w:rsid w:val="2DEA2F76"/>
    <w:rsid w:val="2DF041FF"/>
    <w:rsid w:val="2DF76E1B"/>
    <w:rsid w:val="2E10357E"/>
    <w:rsid w:val="2E177A17"/>
    <w:rsid w:val="2E1B30B3"/>
    <w:rsid w:val="2E3E487D"/>
    <w:rsid w:val="2E41360C"/>
    <w:rsid w:val="2E607FBE"/>
    <w:rsid w:val="2E615CAF"/>
    <w:rsid w:val="2E64456A"/>
    <w:rsid w:val="2E7264C5"/>
    <w:rsid w:val="2E7653DE"/>
    <w:rsid w:val="2E8C6A3D"/>
    <w:rsid w:val="2ED71BB4"/>
    <w:rsid w:val="2F066396"/>
    <w:rsid w:val="2F2655A5"/>
    <w:rsid w:val="2F30138F"/>
    <w:rsid w:val="2F5628C1"/>
    <w:rsid w:val="2F81781A"/>
    <w:rsid w:val="2FBA6AB0"/>
    <w:rsid w:val="2FDA5233"/>
    <w:rsid w:val="30186987"/>
    <w:rsid w:val="30396B3B"/>
    <w:rsid w:val="303D3D8D"/>
    <w:rsid w:val="30410449"/>
    <w:rsid w:val="304B34C7"/>
    <w:rsid w:val="306F3884"/>
    <w:rsid w:val="30AE1C64"/>
    <w:rsid w:val="30D06AF0"/>
    <w:rsid w:val="30DC1248"/>
    <w:rsid w:val="30E16401"/>
    <w:rsid w:val="31405015"/>
    <w:rsid w:val="31537EEC"/>
    <w:rsid w:val="316F0F32"/>
    <w:rsid w:val="31736100"/>
    <w:rsid w:val="31773981"/>
    <w:rsid w:val="319C6FC9"/>
    <w:rsid w:val="3205097C"/>
    <w:rsid w:val="3219245E"/>
    <w:rsid w:val="323677EC"/>
    <w:rsid w:val="323827BE"/>
    <w:rsid w:val="32495754"/>
    <w:rsid w:val="32541D1E"/>
    <w:rsid w:val="32605AA8"/>
    <w:rsid w:val="32615E04"/>
    <w:rsid w:val="326849A2"/>
    <w:rsid w:val="326B0F6E"/>
    <w:rsid w:val="328126D8"/>
    <w:rsid w:val="32A04DB4"/>
    <w:rsid w:val="32D07FAA"/>
    <w:rsid w:val="32DE0BF1"/>
    <w:rsid w:val="32E158F1"/>
    <w:rsid w:val="33031007"/>
    <w:rsid w:val="330A1B9B"/>
    <w:rsid w:val="33341058"/>
    <w:rsid w:val="338032CF"/>
    <w:rsid w:val="339F3BDD"/>
    <w:rsid w:val="33A9773C"/>
    <w:rsid w:val="33E93AE7"/>
    <w:rsid w:val="33FB47B2"/>
    <w:rsid w:val="33FE062C"/>
    <w:rsid w:val="340D123D"/>
    <w:rsid w:val="340D402A"/>
    <w:rsid w:val="34117F4A"/>
    <w:rsid w:val="34157A69"/>
    <w:rsid w:val="342F04EE"/>
    <w:rsid w:val="343773FE"/>
    <w:rsid w:val="344352BB"/>
    <w:rsid w:val="345F13D2"/>
    <w:rsid w:val="346614E2"/>
    <w:rsid w:val="346F44E7"/>
    <w:rsid w:val="3477121B"/>
    <w:rsid w:val="34C33940"/>
    <w:rsid w:val="34CE5612"/>
    <w:rsid w:val="34DA288E"/>
    <w:rsid w:val="34E07C21"/>
    <w:rsid w:val="34E11C57"/>
    <w:rsid w:val="34E43EEA"/>
    <w:rsid w:val="34F47C15"/>
    <w:rsid w:val="34F540BD"/>
    <w:rsid w:val="34FF3C2C"/>
    <w:rsid w:val="35063B46"/>
    <w:rsid w:val="351C3CD0"/>
    <w:rsid w:val="352F1E92"/>
    <w:rsid w:val="353763F9"/>
    <w:rsid w:val="353C79F3"/>
    <w:rsid w:val="353F5F9A"/>
    <w:rsid w:val="35600779"/>
    <w:rsid w:val="35976ED7"/>
    <w:rsid w:val="35980087"/>
    <w:rsid w:val="35B84DAB"/>
    <w:rsid w:val="35C52894"/>
    <w:rsid w:val="35F036ED"/>
    <w:rsid w:val="35FB5BA7"/>
    <w:rsid w:val="36021E5F"/>
    <w:rsid w:val="36327AC4"/>
    <w:rsid w:val="3634601F"/>
    <w:rsid w:val="36496AF6"/>
    <w:rsid w:val="36547421"/>
    <w:rsid w:val="367251E5"/>
    <w:rsid w:val="36903B9D"/>
    <w:rsid w:val="36C301B0"/>
    <w:rsid w:val="36C40C39"/>
    <w:rsid w:val="36C95739"/>
    <w:rsid w:val="36DE6128"/>
    <w:rsid w:val="36FD0B04"/>
    <w:rsid w:val="370275A1"/>
    <w:rsid w:val="372F7F54"/>
    <w:rsid w:val="374754B1"/>
    <w:rsid w:val="374E45F3"/>
    <w:rsid w:val="37624933"/>
    <w:rsid w:val="377870D5"/>
    <w:rsid w:val="378C7B63"/>
    <w:rsid w:val="37C01AB5"/>
    <w:rsid w:val="37C8480D"/>
    <w:rsid w:val="38107733"/>
    <w:rsid w:val="385F25BB"/>
    <w:rsid w:val="386609E8"/>
    <w:rsid w:val="387B2A25"/>
    <w:rsid w:val="38A0575D"/>
    <w:rsid w:val="38B577A9"/>
    <w:rsid w:val="38B74C05"/>
    <w:rsid w:val="38CC421D"/>
    <w:rsid w:val="38D16635"/>
    <w:rsid w:val="38D373E7"/>
    <w:rsid w:val="38FA57F0"/>
    <w:rsid w:val="3936186D"/>
    <w:rsid w:val="39514E0B"/>
    <w:rsid w:val="39566F53"/>
    <w:rsid w:val="395941C6"/>
    <w:rsid w:val="397905D6"/>
    <w:rsid w:val="39864DE3"/>
    <w:rsid w:val="399D5638"/>
    <w:rsid w:val="39B41C18"/>
    <w:rsid w:val="39B653E7"/>
    <w:rsid w:val="39C538F9"/>
    <w:rsid w:val="39D31839"/>
    <w:rsid w:val="39D7425E"/>
    <w:rsid w:val="3A255D6F"/>
    <w:rsid w:val="3A291776"/>
    <w:rsid w:val="3A43382A"/>
    <w:rsid w:val="3A51108A"/>
    <w:rsid w:val="3A604CCB"/>
    <w:rsid w:val="3A6711EA"/>
    <w:rsid w:val="3A6B021B"/>
    <w:rsid w:val="3A6C27C7"/>
    <w:rsid w:val="3A7E7CFE"/>
    <w:rsid w:val="3AB03D58"/>
    <w:rsid w:val="3AF31112"/>
    <w:rsid w:val="3AF71C4F"/>
    <w:rsid w:val="3B0C28E2"/>
    <w:rsid w:val="3B325752"/>
    <w:rsid w:val="3B4113F9"/>
    <w:rsid w:val="3B6E2308"/>
    <w:rsid w:val="3B700B9E"/>
    <w:rsid w:val="3B7A70C3"/>
    <w:rsid w:val="3B8C568A"/>
    <w:rsid w:val="3B8C6B52"/>
    <w:rsid w:val="3B9265F7"/>
    <w:rsid w:val="3BB36501"/>
    <w:rsid w:val="3BC10F8A"/>
    <w:rsid w:val="3BCA0430"/>
    <w:rsid w:val="3C0D7BA2"/>
    <w:rsid w:val="3C1464E6"/>
    <w:rsid w:val="3C1F3B0A"/>
    <w:rsid w:val="3C2F5079"/>
    <w:rsid w:val="3C820BF8"/>
    <w:rsid w:val="3CB974FB"/>
    <w:rsid w:val="3CFF2A56"/>
    <w:rsid w:val="3D083C3D"/>
    <w:rsid w:val="3D0F0BF5"/>
    <w:rsid w:val="3D254DA7"/>
    <w:rsid w:val="3D367754"/>
    <w:rsid w:val="3D4D01FD"/>
    <w:rsid w:val="3D8116F1"/>
    <w:rsid w:val="3D842DB5"/>
    <w:rsid w:val="3D927E3F"/>
    <w:rsid w:val="3DD76D85"/>
    <w:rsid w:val="3DD83ABF"/>
    <w:rsid w:val="3DDA437C"/>
    <w:rsid w:val="3DF461A3"/>
    <w:rsid w:val="3E0B6234"/>
    <w:rsid w:val="3E1516BF"/>
    <w:rsid w:val="3E600BB4"/>
    <w:rsid w:val="3E8A2129"/>
    <w:rsid w:val="3E8C3990"/>
    <w:rsid w:val="3EDA4D3F"/>
    <w:rsid w:val="3F0B745A"/>
    <w:rsid w:val="3F1708AB"/>
    <w:rsid w:val="3F8A3D39"/>
    <w:rsid w:val="3F8D0174"/>
    <w:rsid w:val="3F987717"/>
    <w:rsid w:val="3FD23300"/>
    <w:rsid w:val="3FF47042"/>
    <w:rsid w:val="3FF54785"/>
    <w:rsid w:val="3FFC0AB7"/>
    <w:rsid w:val="3FFF0B26"/>
    <w:rsid w:val="4015659C"/>
    <w:rsid w:val="401D268F"/>
    <w:rsid w:val="403D5DB4"/>
    <w:rsid w:val="40444047"/>
    <w:rsid w:val="40452250"/>
    <w:rsid w:val="405229A9"/>
    <w:rsid w:val="409E45E2"/>
    <w:rsid w:val="40A52125"/>
    <w:rsid w:val="40B61FF8"/>
    <w:rsid w:val="40C7171A"/>
    <w:rsid w:val="40D724A1"/>
    <w:rsid w:val="40E72D37"/>
    <w:rsid w:val="415A1391"/>
    <w:rsid w:val="415E5B0A"/>
    <w:rsid w:val="41965A41"/>
    <w:rsid w:val="41970D49"/>
    <w:rsid w:val="41B92A4F"/>
    <w:rsid w:val="41C964B4"/>
    <w:rsid w:val="41F92ABD"/>
    <w:rsid w:val="41FC1B6A"/>
    <w:rsid w:val="424D1C7F"/>
    <w:rsid w:val="425846A6"/>
    <w:rsid w:val="42624E34"/>
    <w:rsid w:val="427F218F"/>
    <w:rsid w:val="42840AD6"/>
    <w:rsid w:val="428B63CF"/>
    <w:rsid w:val="42AF67D0"/>
    <w:rsid w:val="42BC0E70"/>
    <w:rsid w:val="42C245CE"/>
    <w:rsid w:val="42DD0E52"/>
    <w:rsid w:val="431A0C24"/>
    <w:rsid w:val="434E1C20"/>
    <w:rsid w:val="43620283"/>
    <w:rsid w:val="4363286E"/>
    <w:rsid w:val="43A73BE3"/>
    <w:rsid w:val="43AE7A7E"/>
    <w:rsid w:val="43CF502D"/>
    <w:rsid w:val="440B02B4"/>
    <w:rsid w:val="441C5080"/>
    <w:rsid w:val="44233849"/>
    <w:rsid w:val="446B500C"/>
    <w:rsid w:val="448508DF"/>
    <w:rsid w:val="44BF18A2"/>
    <w:rsid w:val="44E23735"/>
    <w:rsid w:val="44EA77F7"/>
    <w:rsid w:val="45357785"/>
    <w:rsid w:val="45387766"/>
    <w:rsid w:val="453A760F"/>
    <w:rsid w:val="45491A3E"/>
    <w:rsid w:val="45503B28"/>
    <w:rsid w:val="45853082"/>
    <w:rsid w:val="45891F3C"/>
    <w:rsid w:val="4590274A"/>
    <w:rsid w:val="45FD0891"/>
    <w:rsid w:val="46185D52"/>
    <w:rsid w:val="462C285E"/>
    <w:rsid w:val="4639249F"/>
    <w:rsid w:val="463A0304"/>
    <w:rsid w:val="464A4975"/>
    <w:rsid w:val="467C2D95"/>
    <w:rsid w:val="4695468D"/>
    <w:rsid w:val="469A6A31"/>
    <w:rsid w:val="471553B4"/>
    <w:rsid w:val="471E6457"/>
    <w:rsid w:val="475F6267"/>
    <w:rsid w:val="4760207C"/>
    <w:rsid w:val="47743C9D"/>
    <w:rsid w:val="47906F17"/>
    <w:rsid w:val="479A7A31"/>
    <w:rsid w:val="479B1699"/>
    <w:rsid w:val="47AF51BF"/>
    <w:rsid w:val="47B81E12"/>
    <w:rsid w:val="47D03B18"/>
    <w:rsid w:val="47DB1D58"/>
    <w:rsid w:val="47ED29D3"/>
    <w:rsid w:val="47EF74A3"/>
    <w:rsid w:val="47F50C9B"/>
    <w:rsid w:val="4834394A"/>
    <w:rsid w:val="485A65F3"/>
    <w:rsid w:val="48987720"/>
    <w:rsid w:val="48AA0D47"/>
    <w:rsid w:val="48AB437A"/>
    <w:rsid w:val="48BB5E99"/>
    <w:rsid w:val="48E709AB"/>
    <w:rsid w:val="49074129"/>
    <w:rsid w:val="491E413A"/>
    <w:rsid w:val="492B5D1A"/>
    <w:rsid w:val="49356195"/>
    <w:rsid w:val="493E72F4"/>
    <w:rsid w:val="49477CA3"/>
    <w:rsid w:val="495D4FB7"/>
    <w:rsid w:val="495F0F47"/>
    <w:rsid w:val="49850611"/>
    <w:rsid w:val="49E47F0A"/>
    <w:rsid w:val="4A221E06"/>
    <w:rsid w:val="4A2C05A1"/>
    <w:rsid w:val="4A487A49"/>
    <w:rsid w:val="4A661827"/>
    <w:rsid w:val="4ABE4002"/>
    <w:rsid w:val="4AD3789D"/>
    <w:rsid w:val="4AE61558"/>
    <w:rsid w:val="4AE629A4"/>
    <w:rsid w:val="4AF93679"/>
    <w:rsid w:val="4B1E0386"/>
    <w:rsid w:val="4B327DA5"/>
    <w:rsid w:val="4B483ECE"/>
    <w:rsid w:val="4B4D5DE5"/>
    <w:rsid w:val="4B53713F"/>
    <w:rsid w:val="4B5E178B"/>
    <w:rsid w:val="4B7D53C9"/>
    <w:rsid w:val="4B85293F"/>
    <w:rsid w:val="4B902502"/>
    <w:rsid w:val="4B9B344B"/>
    <w:rsid w:val="4BDB55FA"/>
    <w:rsid w:val="4C3D55C6"/>
    <w:rsid w:val="4C667A5B"/>
    <w:rsid w:val="4C823BCA"/>
    <w:rsid w:val="4C9F1330"/>
    <w:rsid w:val="4CAB3457"/>
    <w:rsid w:val="4CF124C7"/>
    <w:rsid w:val="4CF70170"/>
    <w:rsid w:val="4CFA619E"/>
    <w:rsid w:val="4CFD777A"/>
    <w:rsid w:val="4D201110"/>
    <w:rsid w:val="4D3431C7"/>
    <w:rsid w:val="4D526F59"/>
    <w:rsid w:val="4D650150"/>
    <w:rsid w:val="4DE03AC2"/>
    <w:rsid w:val="4DEF02BD"/>
    <w:rsid w:val="4E0D72D8"/>
    <w:rsid w:val="4E383ED6"/>
    <w:rsid w:val="4E560D60"/>
    <w:rsid w:val="4E564593"/>
    <w:rsid w:val="4E703F51"/>
    <w:rsid w:val="4E942C0A"/>
    <w:rsid w:val="4E98220D"/>
    <w:rsid w:val="4EB7399D"/>
    <w:rsid w:val="4ECD2716"/>
    <w:rsid w:val="4EE73AF5"/>
    <w:rsid w:val="4EE84EA5"/>
    <w:rsid w:val="4EEE4AF5"/>
    <w:rsid w:val="4F0B544D"/>
    <w:rsid w:val="4F301FB1"/>
    <w:rsid w:val="4F4F7329"/>
    <w:rsid w:val="4F5260B5"/>
    <w:rsid w:val="4F58224C"/>
    <w:rsid w:val="4F5A7FFE"/>
    <w:rsid w:val="4F8B2726"/>
    <w:rsid w:val="4F8B4457"/>
    <w:rsid w:val="4FDA01F8"/>
    <w:rsid w:val="4FF221C3"/>
    <w:rsid w:val="4FFA0634"/>
    <w:rsid w:val="500032A2"/>
    <w:rsid w:val="504E08AD"/>
    <w:rsid w:val="505C4D01"/>
    <w:rsid w:val="507419FE"/>
    <w:rsid w:val="508B1CA1"/>
    <w:rsid w:val="50AF4B30"/>
    <w:rsid w:val="50BC5CDC"/>
    <w:rsid w:val="510819A0"/>
    <w:rsid w:val="51200E5F"/>
    <w:rsid w:val="5123009E"/>
    <w:rsid w:val="512C2CA7"/>
    <w:rsid w:val="512D289E"/>
    <w:rsid w:val="514152FB"/>
    <w:rsid w:val="51434ED1"/>
    <w:rsid w:val="516445A0"/>
    <w:rsid w:val="518956A9"/>
    <w:rsid w:val="52490C2A"/>
    <w:rsid w:val="525505B5"/>
    <w:rsid w:val="5261544F"/>
    <w:rsid w:val="52C504FB"/>
    <w:rsid w:val="52E13756"/>
    <w:rsid w:val="52E65840"/>
    <w:rsid w:val="52F47582"/>
    <w:rsid w:val="5371534A"/>
    <w:rsid w:val="53720C63"/>
    <w:rsid w:val="537700D3"/>
    <w:rsid w:val="53811681"/>
    <w:rsid w:val="538A520F"/>
    <w:rsid w:val="53933E3F"/>
    <w:rsid w:val="53B418CC"/>
    <w:rsid w:val="53F32910"/>
    <w:rsid w:val="53F4098D"/>
    <w:rsid w:val="53FE04C8"/>
    <w:rsid w:val="54206BE2"/>
    <w:rsid w:val="54297BB6"/>
    <w:rsid w:val="54336DD4"/>
    <w:rsid w:val="543660C2"/>
    <w:rsid w:val="54375971"/>
    <w:rsid w:val="54453F00"/>
    <w:rsid w:val="544D196D"/>
    <w:rsid w:val="5478326E"/>
    <w:rsid w:val="547F6951"/>
    <w:rsid w:val="54854CE2"/>
    <w:rsid w:val="548965FC"/>
    <w:rsid w:val="549F015A"/>
    <w:rsid w:val="54D730B0"/>
    <w:rsid w:val="54E812EA"/>
    <w:rsid w:val="54F76B5C"/>
    <w:rsid w:val="55020A87"/>
    <w:rsid w:val="550341FE"/>
    <w:rsid w:val="55042014"/>
    <w:rsid w:val="55210479"/>
    <w:rsid w:val="552A209A"/>
    <w:rsid w:val="55393BB8"/>
    <w:rsid w:val="55614C5E"/>
    <w:rsid w:val="558C2621"/>
    <w:rsid w:val="55AD3652"/>
    <w:rsid w:val="55B9606B"/>
    <w:rsid w:val="55DE0E54"/>
    <w:rsid w:val="55FF52A6"/>
    <w:rsid w:val="5633198E"/>
    <w:rsid w:val="563E5469"/>
    <w:rsid w:val="566919C6"/>
    <w:rsid w:val="566C5546"/>
    <w:rsid w:val="56745BC9"/>
    <w:rsid w:val="56CF2CF8"/>
    <w:rsid w:val="56E34EAC"/>
    <w:rsid w:val="570203D1"/>
    <w:rsid w:val="571159E3"/>
    <w:rsid w:val="571D3ABE"/>
    <w:rsid w:val="571F6B78"/>
    <w:rsid w:val="57645BA3"/>
    <w:rsid w:val="576A1B6C"/>
    <w:rsid w:val="57936854"/>
    <w:rsid w:val="579848F6"/>
    <w:rsid w:val="57A22474"/>
    <w:rsid w:val="57AF0A2B"/>
    <w:rsid w:val="57C43A36"/>
    <w:rsid w:val="57F62116"/>
    <w:rsid w:val="58101705"/>
    <w:rsid w:val="58335AD6"/>
    <w:rsid w:val="584265A5"/>
    <w:rsid w:val="58707FAE"/>
    <w:rsid w:val="58895B35"/>
    <w:rsid w:val="58C83D7C"/>
    <w:rsid w:val="58E7744A"/>
    <w:rsid w:val="5909370D"/>
    <w:rsid w:val="590D48EB"/>
    <w:rsid w:val="59495353"/>
    <w:rsid w:val="595D2922"/>
    <w:rsid w:val="59634E7E"/>
    <w:rsid w:val="597265E6"/>
    <w:rsid w:val="59A85569"/>
    <w:rsid w:val="59A90DF6"/>
    <w:rsid w:val="59B8686F"/>
    <w:rsid w:val="59B86AAB"/>
    <w:rsid w:val="59BF5B8E"/>
    <w:rsid w:val="59D027D3"/>
    <w:rsid w:val="59DE0C7A"/>
    <w:rsid w:val="59F04D56"/>
    <w:rsid w:val="5A125C89"/>
    <w:rsid w:val="5A4F7A61"/>
    <w:rsid w:val="5AA026B8"/>
    <w:rsid w:val="5AA116D7"/>
    <w:rsid w:val="5AE821DA"/>
    <w:rsid w:val="5AED557F"/>
    <w:rsid w:val="5AFD1904"/>
    <w:rsid w:val="5B2C0607"/>
    <w:rsid w:val="5B3034F1"/>
    <w:rsid w:val="5B424CC5"/>
    <w:rsid w:val="5B63362E"/>
    <w:rsid w:val="5B755268"/>
    <w:rsid w:val="5B9C2FC5"/>
    <w:rsid w:val="5BC86521"/>
    <w:rsid w:val="5C082709"/>
    <w:rsid w:val="5C14060C"/>
    <w:rsid w:val="5C2E582C"/>
    <w:rsid w:val="5C7639BC"/>
    <w:rsid w:val="5CD12F06"/>
    <w:rsid w:val="5CF7084F"/>
    <w:rsid w:val="5D147937"/>
    <w:rsid w:val="5D1634FA"/>
    <w:rsid w:val="5D614E5A"/>
    <w:rsid w:val="5D7A4EBD"/>
    <w:rsid w:val="5D7B2AFB"/>
    <w:rsid w:val="5D9D4948"/>
    <w:rsid w:val="5DA07441"/>
    <w:rsid w:val="5DCD5EDE"/>
    <w:rsid w:val="5DDD01B0"/>
    <w:rsid w:val="5DEE4FE1"/>
    <w:rsid w:val="5E040F9B"/>
    <w:rsid w:val="5E163DAD"/>
    <w:rsid w:val="5E18199F"/>
    <w:rsid w:val="5E276BBA"/>
    <w:rsid w:val="5E4A34BA"/>
    <w:rsid w:val="5E572B7B"/>
    <w:rsid w:val="5ED929BD"/>
    <w:rsid w:val="5EEF44C3"/>
    <w:rsid w:val="5EF64B87"/>
    <w:rsid w:val="5EFE24CD"/>
    <w:rsid w:val="5F1E02ED"/>
    <w:rsid w:val="5F5335CE"/>
    <w:rsid w:val="5F6123D2"/>
    <w:rsid w:val="5F7C6175"/>
    <w:rsid w:val="5F8C113D"/>
    <w:rsid w:val="5FB55859"/>
    <w:rsid w:val="5FEE6A48"/>
    <w:rsid w:val="6028198E"/>
    <w:rsid w:val="6060214E"/>
    <w:rsid w:val="6071387E"/>
    <w:rsid w:val="60932B78"/>
    <w:rsid w:val="60B1182C"/>
    <w:rsid w:val="60B54E5F"/>
    <w:rsid w:val="60D67EB5"/>
    <w:rsid w:val="60E72435"/>
    <w:rsid w:val="60F12408"/>
    <w:rsid w:val="60F915AE"/>
    <w:rsid w:val="61186844"/>
    <w:rsid w:val="61196AEE"/>
    <w:rsid w:val="612015DC"/>
    <w:rsid w:val="613D3456"/>
    <w:rsid w:val="6161246C"/>
    <w:rsid w:val="617A09D3"/>
    <w:rsid w:val="617E2BD9"/>
    <w:rsid w:val="61AB7F4F"/>
    <w:rsid w:val="61BC7327"/>
    <w:rsid w:val="61F12BA4"/>
    <w:rsid w:val="61FC795F"/>
    <w:rsid w:val="622A0453"/>
    <w:rsid w:val="62554D7B"/>
    <w:rsid w:val="62870321"/>
    <w:rsid w:val="62892F39"/>
    <w:rsid w:val="62A52639"/>
    <w:rsid w:val="62C313EC"/>
    <w:rsid w:val="62D2532D"/>
    <w:rsid w:val="62D32926"/>
    <w:rsid w:val="62EB1C80"/>
    <w:rsid w:val="6306529F"/>
    <w:rsid w:val="632B7CB6"/>
    <w:rsid w:val="632D6A8C"/>
    <w:rsid w:val="63326075"/>
    <w:rsid w:val="63577595"/>
    <w:rsid w:val="636D1281"/>
    <w:rsid w:val="63921C8F"/>
    <w:rsid w:val="63C546CA"/>
    <w:rsid w:val="63D43500"/>
    <w:rsid w:val="64463885"/>
    <w:rsid w:val="646C6942"/>
    <w:rsid w:val="648101EB"/>
    <w:rsid w:val="64C649E5"/>
    <w:rsid w:val="64C971FC"/>
    <w:rsid w:val="64D17A33"/>
    <w:rsid w:val="651F176C"/>
    <w:rsid w:val="65243799"/>
    <w:rsid w:val="653730AD"/>
    <w:rsid w:val="65473BE4"/>
    <w:rsid w:val="654823B1"/>
    <w:rsid w:val="658B7760"/>
    <w:rsid w:val="659514FA"/>
    <w:rsid w:val="65B4203E"/>
    <w:rsid w:val="65C562C1"/>
    <w:rsid w:val="65DA30E2"/>
    <w:rsid w:val="65EE7177"/>
    <w:rsid w:val="6635457B"/>
    <w:rsid w:val="663B78CC"/>
    <w:rsid w:val="66645598"/>
    <w:rsid w:val="66713242"/>
    <w:rsid w:val="66A57E71"/>
    <w:rsid w:val="66BD4460"/>
    <w:rsid w:val="66D47A94"/>
    <w:rsid w:val="66E4759D"/>
    <w:rsid w:val="674B4F4A"/>
    <w:rsid w:val="676A3DA6"/>
    <w:rsid w:val="67773A51"/>
    <w:rsid w:val="679805D8"/>
    <w:rsid w:val="67BC3FEE"/>
    <w:rsid w:val="67CA7544"/>
    <w:rsid w:val="67D477F8"/>
    <w:rsid w:val="67FF7C3A"/>
    <w:rsid w:val="6829477F"/>
    <w:rsid w:val="682F4FA9"/>
    <w:rsid w:val="68323C50"/>
    <w:rsid w:val="686332F5"/>
    <w:rsid w:val="68646588"/>
    <w:rsid w:val="688232C2"/>
    <w:rsid w:val="68843A78"/>
    <w:rsid w:val="689F0599"/>
    <w:rsid w:val="68B43376"/>
    <w:rsid w:val="68F053F6"/>
    <w:rsid w:val="68F43A1E"/>
    <w:rsid w:val="69145603"/>
    <w:rsid w:val="69423186"/>
    <w:rsid w:val="69432BE1"/>
    <w:rsid w:val="694D728A"/>
    <w:rsid w:val="6988057F"/>
    <w:rsid w:val="699906A2"/>
    <w:rsid w:val="69AC12C2"/>
    <w:rsid w:val="69C411D0"/>
    <w:rsid w:val="69C62FFA"/>
    <w:rsid w:val="69D86C6D"/>
    <w:rsid w:val="69FA48D7"/>
    <w:rsid w:val="6A0D6DC9"/>
    <w:rsid w:val="6A4A19BA"/>
    <w:rsid w:val="6A564EBF"/>
    <w:rsid w:val="6A645FFB"/>
    <w:rsid w:val="6A6A2D90"/>
    <w:rsid w:val="6A701056"/>
    <w:rsid w:val="6A7A24EF"/>
    <w:rsid w:val="6A7E361E"/>
    <w:rsid w:val="6A9A2282"/>
    <w:rsid w:val="6ABB292C"/>
    <w:rsid w:val="6AC46CE5"/>
    <w:rsid w:val="6ACD0D45"/>
    <w:rsid w:val="6AFE0C80"/>
    <w:rsid w:val="6B2A0779"/>
    <w:rsid w:val="6B2B1D80"/>
    <w:rsid w:val="6B3D3548"/>
    <w:rsid w:val="6B664EB6"/>
    <w:rsid w:val="6BA87D31"/>
    <w:rsid w:val="6BB72998"/>
    <w:rsid w:val="6BBC73BD"/>
    <w:rsid w:val="6BC066B1"/>
    <w:rsid w:val="6C0B1660"/>
    <w:rsid w:val="6C533915"/>
    <w:rsid w:val="6C7F31BE"/>
    <w:rsid w:val="6CD91C0E"/>
    <w:rsid w:val="6CE01353"/>
    <w:rsid w:val="6CEA7AAC"/>
    <w:rsid w:val="6CF35CFC"/>
    <w:rsid w:val="6CFA25E1"/>
    <w:rsid w:val="6D3F29A1"/>
    <w:rsid w:val="6D651DF3"/>
    <w:rsid w:val="6D9E263C"/>
    <w:rsid w:val="6DD658EE"/>
    <w:rsid w:val="6DDD6E36"/>
    <w:rsid w:val="6DEC1C21"/>
    <w:rsid w:val="6E152319"/>
    <w:rsid w:val="6E3B0BAF"/>
    <w:rsid w:val="6E3E0629"/>
    <w:rsid w:val="6E501AEB"/>
    <w:rsid w:val="6E7C11B5"/>
    <w:rsid w:val="6E7F556F"/>
    <w:rsid w:val="6E997C25"/>
    <w:rsid w:val="6E9F07E1"/>
    <w:rsid w:val="6EA14A30"/>
    <w:rsid w:val="6EB6105A"/>
    <w:rsid w:val="6EC629FF"/>
    <w:rsid w:val="6EC7282F"/>
    <w:rsid w:val="6F1C104C"/>
    <w:rsid w:val="6F26499B"/>
    <w:rsid w:val="6F2F3282"/>
    <w:rsid w:val="6F587A8E"/>
    <w:rsid w:val="6F5A7044"/>
    <w:rsid w:val="6F5D5506"/>
    <w:rsid w:val="6F600C59"/>
    <w:rsid w:val="6F7E2770"/>
    <w:rsid w:val="6F8776A7"/>
    <w:rsid w:val="6F957D21"/>
    <w:rsid w:val="6FA57C2A"/>
    <w:rsid w:val="6FD175F7"/>
    <w:rsid w:val="6FD95378"/>
    <w:rsid w:val="703C1CAA"/>
    <w:rsid w:val="703E1108"/>
    <w:rsid w:val="704B7EBD"/>
    <w:rsid w:val="707F7FC1"/>
    <w:rsid w:val="70830694"/>
    <w:rsid w:val="7092075C"/>
    <w:rsid w:val="70AF49AD"/>
    <w:rsid w:val="70E234A9"/>
    <w:rsid w:val="712D7A96"/>
    <w:rsid w:val="71334F8E"/>
    <w:rsid w:val="713C2BF3"/>
    <w:rsid w:val="715517E0"/>
    <w:rsid w:val="71682CDB"/>
    <w:rsid w:val="717C301D"/>
    <w:rsid w:val="71AC3CA8"/>
    <w:rsid w:val="71E67530"/>
    <w:rsid w:val="71F552A8"/>
    <w:rsid w:val="71FD3369"/>
    <w:rsid w:val="7208350E"/>
    <w:rsid w:val="72264502"/>
    <w:rsid w:val="723358B2"/>
    <w:rsid w:val="72363B93"/>
    <w:rsid w:val="72366F69"/>
    <w:rsid w:val="72546CCC"/>
    <w:rsid w:val="72571A57"/>
    <w:rsid w:val="72981E43"/>
    <w:rsid w:val="72AD5CE4"/>
    <w:rsid w:val="72BB344D"/>
    <w:rsid w:val="72BD396A"/>
    <w:rsid w:val="72EA334F"/>
    <w:rsid w:val="730B241D"/>
    <w:rsid w:val="734C24BD"/>
    <w:rsid w:val="7357002D"/>
    <w:rsid w:val="73576104"/>
    <w:rsid w:val="73815738"/>
    <w:rsid w:val="739F3A97"/>
    <w:rsid w:val="73AF1694"/>
    <w:rsid w:val="73B673EF"/>
    <w:rsid w:val="73F02366"/>
    <w:rsid w:val="742254DD"/>
    <w:rsid w:val="7437180D"/>
    <w:rsid w:val="74391D4B"/>
    <w:rsid w:val="74483CFE"/>
    <w:rsid w:val="744B0DA7"/>
    <w:rsid w:val="744D3074"/>
    <w:rsid w:val="74624CC6"/>
    <w:rsid w:val="746A5AD3"/>
    <w:rsid w:val="74723306"/>
    <w:rsid w:val="747A2CC8"/>
    <w:rsid w:val="747F3641"/>
    <w:rsid w:val="74B579B7"/>
    <w:rsid w:val="74BB7061"/>
    <w:rsid w:val="74CE3EB2"/>
    <w:rsid w:val="74E82D21"/>
    <w:rsid w:val="750E03C1"/>
    <w:rsid w:val="751C6251"/>
    <w:rsid w:val="751E470B"/>
    <w:rsid w:val="753D7B6A"/>
    <w:rsid w:val="754026A2"/>
    <w:rsid w:val="75670772"/>
    <w:rsid w:val="757C44C8"/>
    <w:rsid w:val="759A09C5"/>
    <w:rsid w:val="75A6427E"/>
    <w:rsid w:val="75B243A7"/>
    <w:rsid w:val="75DE6DB1"/>
    <w:rsid w:val="75E572CF"/>
    <w:rsid w:val="75FB07A2"/>
    <w:rsid w:val="761375E4"/>
    <w:rsid w:val="76217478"/>
    <w:rsid w:val="763C572C"/>
    <w:rsid w:val="7666354F"/>
    <w:rsid w:val="766B6ECD"/>
    <w:rsid w:val="76855EB9"/>
    <w:rsid w:val="7692691E"/>
    <w:rsid w:val="76996365"/>
    <w:rsid w:val="769A10D0"/>
    <w:rsid w:val="76C2349E"/>
    <w:rsid w:val="76CB35EC"/>
    <w:rsid w:val="76D054CE"/>
    <w:rsid w:val="77040C67"/>
    <w:rsid w:val="773B587C"/>
    <w:rsid w:val="774271F2"/>
    <w:rsid w:val="77653D55"/>
    <w:rsid w:val="776A7D9F"/>
    <w:rsid w:val="77734AD9"/>
    <w:rsid w:val="77767106"/>
    <w:rsid w:val="77AB2363"/>
    <w:rsid w:val="77F3466D"/>
    <w:rsid w:val="780127F5"/>
    <w:rsid w:val="7822274B"/>
    <w:rsid w:val="7840608D"/>
    <w:rsid w:val="78494C44"/>
    <w:rsid w:val="78594455"/>
    <w:rsid w:val="78786AB3"/>
    <w:rsid w:val="78B065B0"/>
    <w:rsid w:val="78C33E4A"/>
    <w:rsid w:val="7901119D"/>
    <w:rsid w:val="790D3EA5"/>
    <w:rsid w:val="791B2495"/>
    <w:rsid w:val="791D2A50"/>
    <w:rsid w:val="79366F18"/>
    <w:rsid w:val="79432736"/>
    <w:rsid w:val="79660E81"/>
    <w:rsid w:val="797940FE"/>
    <w:rsid w:val="79AA4A14"/>
    <w:rsid w:val="79B63FC9"/>
    <w:rsid w:val="79DE02DD"/>
    <w:rsid w:val="79E07E40"/>
    <w:rsid w:val="79EB5D1B"/>
    <w:rsid w:val="79FC6182"/>
    <w:rsid w:val="7A0A6F4F"/>
    <w:rsid w:val="7A456F6D"/>
    <w:rsid w:val="7A5F16CA"/>
    <w:rsid w:val="7A710D8E"/>
    <w:rsid w:val="7AB1300F"/>
    <w:rsid w:val="7AB64E52"/>
    <w:rsid w:val="7ADA0EA4"/>
    <w:rsid w:val="7AE75FBC"/>
    <w:rsid w:val="7AFC56DC"/>
    <w:rsid w:val="7B0D3216"/>
    <w:rsid w:val="7B345398"/>
    <w:rsid w:val="7B355131"/>
    <w:rsid w:val="7B590C27"/>
    <w:rsid w:val="7B6C5EAB"/>
    <w:rsid w:val="7B7814A8"/>
    <w:rsid w:val="7B861DF2"/>
    <w:rsid w:val="7BA33013"/>
    <w:rsid w:val="7BF702E8"/>
    <w:rsid w:val="7BFA0FA5"/>
    <w:rsid w:val="7BFE2BF5"/>
    <w:rsid w:val="7C162A9E"/>
    <w:rsid w:val="7C177BEA"/>
    <w:rsid w:val="7C206AB7"/>
    <w:rsid w:val="7C8646F6"/>
    <w:rsid w:val="7C9B46D0"/>
    <w:rsid w:val="7CA95B93"/>
    <w:rsid w:val="7CBC0850"/>
    <w:rsid w:val="7CD3681B"/>
    <w:rsid w:val="7CF20DD2"/>
    <w:rsid w:val="7CFF7134"/>
    <w:rsid w:val="7D8603E2"/>
    <w:rsid w:val="7D9C553A"/>
    <w:rsid w:val="7DD0508B"/>
    <w:rsid w:val="7DE4119D"/>
    <w:rsid w:val="7DEE5B58"/>
    <w:rsid w:val="7E0B1390"/>
    <w:rsid w:val="7E2B13AE"/>
    <w:rsid w:val="7ED03245"/>
    <w:rsid w:val="7ED25E9B"/>
    <w:rsid w:val="7ED37D6E"/>
    <w:rsid w:val="7F7D2EBD"/>
    <w:rsid w:val="7F8846F0"/>
    <w:rsid w:val="7FAD2052"/>
    <w:rsid w:val="7FEA3B6F"/>
    <w:rsid w:val="BAFFAB79"/>
    <w:rsid w:val="DBEED555"/>
  </w:rsids>
  <m:mathPr>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uppressAutoHyphens/>
      <w:bidi w:val="0"/>
      <w:spacing w:before="0" w:after="0"/>
      <w:jc w:val="left"/>
    </w:pPr>
    <w:rPr>
      <w:rFonts w:ascii="Arial Unicode MS" w:hAnsi="Arial Unicode MS" w:eastAsia="Arial Unicode MS" w:cs="Arial Unicode MS"/>
      <w:color w:val="auto"/>
      <w:kern w:val="0"/>
      <w:sz w:val="22"/>
      <w:szCs w:val="22"/>
      <w:lang w:val="zh-CN" w:eastAsia="zh-CN" w:bidi="zh-CN"/>
    </w:rPr>
  </w:style>
  <w:style w:type="paragraph" w:styleId="2">
    <w:name w:val="heading 1"/>
    <w:basedOn w:val="1"/>
    <w:next w:val="1"/>
    <w:qFormat/>
    <w:uiPriority w:val="1"/>
    <w:pPr>
      <w:ind w:left="-40" w:firstLine="0"/>
      <w:outlineLvl w:val="0"/>
    </w:pPr>
    <w:rPr>
      <w:sz w:val="52"/>
      <w:szCs w:val="52"/>
    </w:rPr>
  </w:style>
  <w:style w:type="paragraph" w:styleId="3">
    <w:name w:val="heading 2"/>
    <w:basedOn w:val="1"/>
    <w:next w:val="1"/>
    <w:qFormat/>
    <w:uiPriority w:val="1"/>
    <w:pPr>
      <w:ind w:right="18" w:firstLine="0"/>
      <w:jc w:val="center"/>
      <w:outlineLvl w:val="1"/>
    </w:pPr>
    <w:rPr>
      <w:sz w:val="44"/>
      <w:szCs w:val="44"/>
    </w:rPr>
  </w:style>
  <w:style w:type="paragraph" w:styleId="4">
    <w:name w:val="heading 3"/>
    <w:basedOn w:val="1"/>
    <w:next w:val="1"/>
    <w:qFormat/>
    <w:uiPriority w:val="1"/>
    <w:pPr>
      <w:ind w:left="1" w:firstLine="0"/>
      <w:jc w:val="center"/>
      <w:outlineLvl w:val="2"/>
    </w:pPr>
    <w:rPr>
      <w:sz w:val="40"/>
      <w:szCs w:val="40"/>
    </w:rPr>
  </w:style>
  <w:style w:type="paragraph" w:styleId="5">
    <w:name w:val="heading 4"/>
    <w:basedOn w:val="1"/>
    <w:next w:val="1"/>
    <w:qFormat/>
    <w:uiPriority w:val="1"/>
    <w:pPr>
      <w:jc w:val="center"/>
      <w:outlineLvl w:val="3"/>
    </w:pPr>
    <w:rPr>
      <w:sz w:val="36"/>
      <w:szCs w:val="36"/>
    </w:rPr>
  </w:style>
  <w:style w:type="paragraph" w:styleId="6">
    <w:name w:val="heading 5"/>
    <w:basedOn w:val="1"/>
    <w:next w:val="1"/>
    <w:qFormat/>
    <w:uiPriority w:val="1"/>
    <w:pPr>
      <w:ind w:left="112" w:firstLine="0"/>
      <w:outlineLvl w:val="4"/>
    </w:pPr>
    <w:rPr>
      <w:sz w:val="33"/>
      <w:szCs w:val="33"/>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7">
    <w:name w:val="caption"/>
    <w:basedOn w:val="1"/>
    <w:next w:val="1"/>
    <w:qFormat/>
    <w:uiPriority w:val="0"/>
    <w:pPr>
      <w:suppressLineNumbers/>
      <w:spacing w:before="120" w:after="120"/>
    </w:pPr>
    <w:rPr>
      <w:i/>
      <w:iCs/>
      <w:sz w:val="24"/>
      <w:szCs w:val="24"/>
    </w:rPr>
  </w:style>
  <w:style w:type="paragraph" w:styleId="8">
    <w:name w:val="Body Text"/>
    <w:basedOn w:val="1"/>
    <w:qFormat/>
    <w:uiPriority w:val="1"/>
    <w:rPr>
      <w:sz w:val="32"/>
      <w:szCs w:val="32"/>
    </w:rPr>
  </w:style>
  <w:style w:type="paragraph" w:styleId="9">
    <w:name w:val="footer"/>
    <w:basedOn w:val="1"/>
    <w:qFormat/>
    <w:uiPriority w:val="0"/>
    <w:pPr>
      <w:tabs>
        <w:tab w:val="center" w:pos="4153"/>
        <w:tab w:val="right" w:pos="8306"/>
      </w:tabs>
      <w:snapToGrid w:val="0"/>
    </w:pPr>
    <w:rPr>
      <w:sz w:val="18"/>
      <w:szCs w:val="18"/>
    </w:rPr>
  </w:style>
  <w:style w:type="paragraph" w:styleId="10">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1">
    <w:name w:val="List"/>
    <w:basedOn w:val="8"/>
    <w:qFormat/>
    <w:uiPriority w:val="0"/>
  </w:style>
  <w:style w:type="table" w:styleId="13">
    <w:name w:val="Table Grid"/>
    <w:basedOn w:val="1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编号符号"/>
    <w:qFormat/>
    <w:uiPriority w:val="0"/>
  </w:style>
  <w:style w:type="character" w:customStyle="1" w:styleId="16">
    <w:name w:val="页眉 字符"/>
    <w:basedOn w:val="14"/>
    <w:qFormat/>
    <w:uiPriority w:val="0"/>
    <w:rPr>
      <w:rFonts w:ascii="Arial Unicode MS" w:hAnsi="Arial Unicode MS" w:eastAsia="Arial Unicode MS" w:cs="Arial Unicode MS"/>
      <w:sz w:val="18"/>
      <w:szCs w:val="18"/>
      <w:lang w:val="zh-CN" w:bidi="zh-CN"/>
    </w:rPr>
  </w:style>
  <w:style w:type="character" w:customStyle="1" w:styleId="17">
    <w:name w:val="页脚 字符"/>
    <w:basedOn w:val="14"/>
    <w:qFormat/>
    <w:uiPriority w:val="0"/>
    <w:rPr>
      <w:rFonts w:ascii="Arial Unicode MS" w:hAnsi="Arial Unicode MS" w:eastAsia="Arial Unicode MS" w:cs="Arial Unicode MS"/>
      <w:sz w:val="18"/>
      <w:szCs w:val="18"/>
      <w:lang w:val="zh-CN" w:bidi="zh-CN"/>
    </w:rPr>
  </w:style>
  <w:style w:type="paragraph" w:customStyle="1" w:styleId="18">
    <w:name w:val="标题样式"/>
    <w:basedOn w:val="1"/>
    <w:next w:val="8"/>
    <w:qFormat/>
    <w:uiPriority w:val="0"/>
    <w:pPr>
      <w:keepNext/>
      <w:spacing w:before="240" w:after="120"/>
    </w:pPr>
    <w:rPr>
      <w:rFonts w:ascii="Liberation Sans" w:hAnsi="Liberation Sans"/>
      <w:sz w:val="28"/>
      <w:szCs w:val="28"/>
    </w:rPr>
  </w:style>
  <w:style w:type="paragraph" w:customStyle="1" w:styleId="19">
    <w:name w:val="索引"/>
    <w:basedOn w:val="1"/>
    <w:qFormat/>
    <w:uiPriority w:val="0"/>
    <w:pPr>
      <w:suppressLineNumbers/>
    </w:pPr>
  </w:style>
  <w:style w:type="paragraph" w:customStyle="1" w:styleId="20">
    <w:name w:val="页眉与页脚"/>
    <w:basedOn w:val="1"/>
    <w:qFormat/>
    <w:uiPriority w:val="0"/>
  </w:style>
  <w:style w:type="paragraph" w:customStyle="1" w:styleId="21">
    <w:name w:val="List Paragraph"/>
    <w:basedOn w:val="1"/>
    <w:qFormat/>
    <w:uiPriority w:val="1"/>
    <w:pPr>
      <w:ind w:left="2039" w:hanging="782"/>
    </w:pPr>
  </w:style>
  <w:style w:type="paragraph" w:customStyle="1" w:styleId="22">
    <w:name w:val="Table Paragraph"/>
    <w:basedOn w:val="1"/>
    <w:qFormat/>
    <w:uiPriority w:val="1"/>
    <w:rPr>
      <w:rFonts w:ascii="宋体" w:hAnsi="宋体" w:eastAsia="宋体" w:cs="宋体"/>
    </w:rPr>
  </w:style>
  <w:style w:type="paragraph" w:customStyle="1" w:styleId="23">
    <w:name w:val="表格内容"/>
    <w:basedOn w:val="1"/>
    <w:qFormat/>
    <w:uiPriority w:val="0"/>
    <w:pPr>
      <w:suppressLineNumbers/>
    </w:pPr>
  </w:style>
  <w:style w:type="paragraph" w:customStyle="1" w:styleId="24">
    <w:name w:val="表格标题"/>
    <w:basedOn w:val="23"/>
    <w:qFormat/>
    <w:uiPriority w:val="0"/>
    <w:pPr>
      <w:jc w:val="center"/>
    </w:pPr>
    <w:rPr>
      <w:b/>
      <w:bCs/>
    </w:rPr>
  </w:style>
  <w:style w:type="paragraph" w:customStyle="1" w:styleId="25">
    <w:name w:val="预格式化的文本"/>
    <w:basedOn w:val="1"/>
    <w:qFormat/>
    <w:uiPriority w:val="0"/>
    <w:rPr>
      <w:rFonts w:ascii="Liberation Mono" w:hAnsi="Liberation Mono" w:eastAsia="新宋体" w:cs="Liberation Mono"/>
      <w:sz w:val="20"/>
      <w:szCs w:val="20"/>
    </w:rPr>
  </w:style>
  <w:style w:type="table" w:customStyle="1" w:styleId="26">
    <w:name w:val="Table Normal"/>
    <w:unhideWhenUsed/>
    <w:qFormat/>
    <w:uiPriority w:val="2"/>
    <w:tblPr>
      <w:tblCellMar>
        <w:top w:w="0" w:type="dxa"/>
        <w:left w:w="0" w:type="dxa"/>
        <w:bottom w:w="0" w:type="dxa"/>
        <w:right w:w="0" w:type="dxa"/>
      </w:tblCellMar>
    </w:tblPr>
  </w:style>
</w:styles>
</file>

<file path=word/_rels/document.xml.rels><?xml version="1.0" encoding="UTF-8" standalone="no"?><Relationships xmlns="http://schemas.openxmlformats.org/package/2006/relationships"><Relationship Id="rId1" Target="styles.xml" Type="http://schemas.openxmlformats.org/officeDocument/2006/relationships/styles"/><Relationship Id="rId10" Target="footer6.xml" Type="http://schemas.openxmlformats.org/officeDocument/2006/relationships/footer"/><Relationship Id="rId11" Target="footer7.xml" Type="http://schemas.openxmlformats.org/officeDocument/2006/relationships/footer"/><Relationship Id="rId12" Target="footer8.xml" Type="http://schemas.openxmlformats.org/officeDocument/2006/relationships/footer"/><Relationship Id="rId13" Target="footer9.xml" Type="http://schemas.openxmlformats.org/officeDocument/2006/relationships/footer"/><Relationship Id="rId14" Target="footer10.xml" Type="http://schemas.openxmlformats.org/officeDocument/2006/relationships/footer"/><Relationship Id="rId15" Target="footer11.xml" Type="http://schemas.openxmlformats.org/officeDocument/2006/relationships/footer"/><Relationship Id="rId16" Target="footer12.xml" Type="http://schemas.openxmlformats.org/officeDocument/2006/relationships/footer"/><Relationship Id="rId17" Target="footer13.xml" Type="http://schemas.openxmlformats.org/officeDocument/2006/relationships/footer"/><Relationship Id="rId18" Target="footer14.xml" Type="http://schemas.openxmlformats.org/officeDocument/2006/relationships/footer"/><Relationship Id="rId19" Target="theme/theme1.xml" Type="http://schemas.openxmlformats.org/officeDocument/2006/relationships/theme"/><Relationship Id="rId2" Target="settings.xml" Type="http://schemas.openxmlformats.org/officeDocument/2006/relationships/settings"/><Relationship Id="rId20" Target="../customXml/item1.xml" Type="http://schemas.openxmlformats.org/officeDocument/2006/relationships/customXml"/><Relationship Id="rId21" Target="numbering.xml" Type="http://schemas.openxmlformats.org/officeDocument/2006/relationships/numbering"/><Relationship Id="rId22" Target="fontTable.xml" Type="http://schemas.openxmlformats.org/officeDocument/2006/relationships/fontTable"/><Relationship Id="rId23" Target="media/image1.jpeg" Type="http://schemas.openxmlformats.org/officeDocument/2006/relationships/image"/><Relationship Id="rId24" Target="media/image2.jpeg" Type="http://schemas.openxmlformats.org/officeDocument/2006/relationships/image"/><Relationship Id="rId3" Target="header1.xml" Type="http://schemas.openxmlformats.org/officeDocument/2006/relationships/header"/><Relationship Id="rId4" Target="header2.xml" Type="http://schemas.openxmlformats.org/officeDocument/2006/relationships/header"/><Relationship Id="rId5" Target="footer1.xml" Type="http://schemas.openxmlformats.org/officeDocument/2006/relationships/footer"/><Relationship Id="rId6" Target="footer2.xml" Type="http://schemas.openxmlformats.org/officeDocument/2006/relationships/footer"/><Relationship Id="rId7" Target="footer3.xml" Type="http://schemas.openxmlformats.org/officeDocument/2006/relationships/footer"/><Relationship Id="rId8" Target="footer4.xml" Type="http://schemas.openxmlformats.org/officeDocument/2006/relationships/footer"/><Relationship Id="rId9" Target="footer5.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111" textRotate="1"/>
    <customShpInfo spid="_x0000_s4112" textRotate="1"/>
    <customShpInfo spid="_x0000_s4099" textRotate="1"/>
    <customShpInfo spid="_x0000_s4100" textRotate="1"/>
    <customShpInfo spid="_x0000_s4101" textRotate="1"/>
    <customShpInfo spid="_x0000_s4102" textRotate="1"/>
    <customShpInfo spid="_x0000_s4103" textRotate="1"/>
    <customShpInfo spid="_x0000_s4104" textRotate="1"/>
    <customShpInfo spid="_x0000_s4105" textRotate="1"/>
    <customShpInfo spid="_x0000_s4106" textRotate="1"/>
    <customShpInfo spid="_x0000_s4107" textRotate="1"/>
    <customShpInfo spid="_x0000_s4108" textRotate="1"/>
    <customShpInfo spid="_x0000_s411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3386</Words>
  <Characters>7333</Characters>
  <Paragraphs>501</Paragraphs>
  <TotalTime>27</TotalTime>
  <ScaleCrop>false</ScaleCrop>
  <LinksUpToDate>false</LinksUpToDate>
  <CharactersWithSpaces>7399</CharactersWithSpaces>
  <Application>WPS Office_11.1.0.10314_F1E327BC-269C-435d-A152-05C5408002CA</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2021-04-16T03:22:00Z</dcterms:created>
  <dc:creator>陈长军(本处室套红)</dc:creator>
  <cp:lastModifiedBy>XC</cp:lastModifiedBy>
  <dcterms:modified xsi:type="dcterms:W3CDTF">2021-08-11T06:50:34Z</dcterms:modified>
  <cp:revision>175</cp:revision>
  <dc:title>部门决算公开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C823B2FE72FE4DF285E985223D1A425B</vt:lpwstr>
  </property>
  <property fmtid="{D5CDD505-2E9C-101B-9397-08002B2CF9AE}" pid="5" name="KSOProductBuildVer">
    <vt:lpwstr>2052-11.1.0.10314</vt:lpwstr>
  </property>
  <property fmtid="{D5CDD505-2E9C-101B-9397-08002B2CF9AE}" pid="6" name="LastSaved">
    <vt:filetime>2021-04-15T00:00:00Z</vt:filetime>
  </property>
</Properties>
</file>