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346436">
      <w:pPr>
        <w:spacing w:line="540" w:lineRule="exact"/>
        <w:jc w:val="center"/>
        <w:rPr>
          <w:rFonts w:ascii="仿宋_GB2312" w:hAnsi="华文中宋" w:eastAsia="仿宋_GB2312" w:cs="TT4AC8C67DtCID-WinCharSetFFFF-H"/>
          <w:color w:val="000000"/>
          <w:kern w:val="0"/>
          <w:sz w:val="42"/>
          <w:szCs w:val="42"/>
        </w:rPr>
      </w:pPr>
    </w:p>
    <w:p w14:paraId="548BC2FA">
      <w:pPr>
        <w:spacing w:line="540" w:lineRule="exact"/>
        <w:jc w:val="center"/>
        <w:rPr>
          <w:rFonts w:ascii="仿宋_GB2312" w:hAnsi="华文中宋" w:eastAsia="仿宋_GB2312" w:cs="TT4AC8C67DtCID-WinCharSetFFFF-H"/>
          <w:color w:val="000000"/>
          <w:kern w:val="0"/>
          <w:sz w:val="42"/>
          <w:szCs w:val="42"/>
        </w:rPr>
      </w:pPr>
    </w:p>
    <w:p w14:paraId="5C0E1A21">
      <w:pPr>
        <w:spacing w:line="80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无锡交通建设工程集团有限公司</w:t>
      </w:r>
    </w:p>
    <w:p w14:paraId="7E8B1E6A">
      <w:pPr>
        <w:spacing w:line="80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参与五年制高等职业教育人才培养年度报告</w:t>
      </w:r>
    </w:p>
    <w:p w14:paraId="45CA5F8D">
      <w:pPr>
        <w:spacing w:line="80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（202</w:t>
      </w:r>
      <w:r>
        <w:rPr>
          <w:rFonts w:hint="eastAsia" w:ascii="仿宋_GB2312" w:hAnsi="华文中宋" w:eastAsia="仿宋_GB2312" w:cs="TT4AC8C67DtCID-WinCharSetFFFF-H"/>
          <w:color w:val="000000"/>
          <w:kern w:val="0"/>
          <w:sz w:val="42"/>
          <w:szCs w:val="42"/>
          <w:lang w:val="en-US" w:eastAsia="zh-CN"/>
        </w:rPr>
        <w:t>5</w:t>
      </w:r>
      <w:r>
        <w:rPr>
          <w:rFonts w:hint="eastAsia" w:ascii="仿宋_GB2312" w:hAnsi="华文中宋" w:eastAsia="仿宋_GB2312" w:cs="TT4AC8C67DtCID-WinCharSetFFFF-H"/>
          <w:color w:val="000000"/>
          <w:kern w:val="0"/>
          <w:sz w:val="42"/>
          <w:szCs w:val="42"/>
        </w:rPr>
        <w:t xml:space="preserve">） </w:t>
      </w:r>
      <w:r>
        <w:rPr>
          <w:rFonts w:ascii="仿宋_GB2312" w:hAnsi="华文中宋" w:eastAsia="仿宋_GB2312" w:cs="TT4AC8C67DtCID-WinCharSetFFFF-H"/>
          <w:color w:val="000000"/>
          <w:kern w:val="0"/>
          <w:sz w:val="42"/>
          <w:szCs w:val="42"/>
        </w:rPr>
        <w:t xml:space="preserve">             </w:t>
      </w:r>
    </w:p>
    <w:p w14:paraId="4A0876E7">
      <w:pPr>
        <w:spacing w:line="540" w:lineRule="exact"/>
        <w:jc w:val="center"/>
        <w:rPr>
          <w:rFonts w:ascii="仿宋_GB2312" w:hAnsi="华文中宋" w:eastAsia="仿宋_GB2312" w:cs="TT4AC8C67DtCID-WinCharSetFFFF-H"/>
          <w:color w:val="000000"/>
          <w:kern w:val="0"/>
          <w:sz w:val="42"/>
          <w:szCs w:val="42"/>
        </w:rPr>
      </w:pPr>
    </w:p>
    <w:p w14:paraId="11FA4513">
      <w:pPr>
        <w:spacing w:line="540" w:lineRule="exact"/>
        <w:jc w:val="center"/>
        <w:rPr>
          <w:rFonts w:ascii="仿宋_GB2312" w:hAnsi="华文中宋" w:eastAsia="仿宋_GB2312" w:cs="TT4AC8C67DtCID-WinCharSetFFFF-H"/>
          <w:color w:val="000000"/>
          <w:kern w:val="0"/>
          <w:sz w:val="42"/>
          <w:szCs w:val="42"/>
        </w:rPr>
      </w:pPr>
    </w:p>
    <w:p w14:paraId="1BC1699D">
      <w:pPr>
        <w:spacing w:line="540" w:lineRule="exact"/>
        <w:jc w:val="center"/>
        <w:rPr>
          <w:rFonts w:ascii="仿宋_GB2312" w:hAnsi="华文中宋" w:eastAsia="仿宋_GB2312" w:cs="TT4AC8C67DtCID-WinCharSetFFFF-H"/>
          <w:color w:val="000000"/>
          <w:kern w:val="0"/>
          <w:sz w:val="42"/>
          <w:szCs w:val="42"/>
        </w:rPr>
      </w:pPr>
    </w:p>
    <w:p w14:paraId="441A3142">
      <w:pPr>
        <w:spacing w:line="540" w:lineRule="exact"/>
        <w:jc w:val="center"/>
        <w:rPr>
          <w:rFonts w:ascii="仿宋_GB2312" w:hAnsi="华文中宋" w:eastAsia="仿宋_GB2312" w:cs="TT4AC8C67DtCID-WinCharSetFFFF-H"/>
          <w:color w:val="000000"/>
          <w:kern w:val="0"/>
          <w:sz w:val="42"/>
          <w:szCs w:val="42"/>
        </w:rPr>
      </w:pPr>
    </w:p>
    <w:p w14:paraId="0A7CE05C">
      <w:pPr>
        <w:spacing w:line="540" w:lineRule="exact"/>
        <w:jc w:val="center"/>
        <w:rPr>
          <w:rFonts w:ascii="仿宋_GB2312" w:hAnsi="华文中宋" w:eastAsia="仿宋_GB2312" w:cs="TT4AC8C67DtCID-WinCharSetFFFF-H"/>
          <w:color w:val="000000"/>
          <w:kern w:val="0"/>
          <w:sz w:val="42"/>
          <w:szCs w:val="42"/>
        </w:rPr>
      </w:pPr>
    </w:p>
    <w:p w14:paraId="02047A9A">
      <w:pPr>
        <w:spacing w:line="540" w:lineRule="exact"/>
        <w:jc w:val="center"/>
        <w:rPr>
          <w:rFonts w:ascii="仿宋_GB2312" w:hAnsi="华文中宋" w:eastAsia="仿宋_GB2312" w:cs="TT4AC8C67DtCID-WinCharSetFFFF-H"/>
          <w:color w:val="000000"/>
          <w:kern w:val="0"/>
          <w:sz w:val="42"/>
          <w:szCs w:val="42"/>
        </w:rPr>
      </w:pPr>
    </w:p>
    <w:p w14:paraId="353107CD">
      <w:pPr>
        <w:spacing w:line="540" w:lineRule="exact"/>
        <w:jc w:val="center"/>
        <w:rPr>
          <w:rFonts w:ascii="仿宋_GB2312" w:hAnsi="华文中宋" w:eastAsia="仿宋_GB2312" w:cs="TT4AC8C67DtCID-WinCharSetFFFF-H"/>
          <w:color w:val="000000"/>
          <w:kern w:val="0"/>
          <w:sz w:val="42"/>
          <w:szCs w:val="42"/>
        </w:rPr>
      </w:pPr>
    </w:p>
    <w:p w14:paraId="37667292">
      <w:pPr>
        <w:spacing w:line="540" w:lineRule="exact"/>
        <w:jc w:val="center"/>
        <w:rPr>
          <w:rFonts w:ascii="仿宋_GB2312" w:hAnsi="华文中宋" w:eastAsia="仿宋_GB2312" w:cs="TT4AC8C67DtCID-WinCharSetFFFF-H"/>
          <w:color w:val="000000"/>
          <w:kern w:val="0"/>
          <w:sz w:val="42"/>
          <w:szCs w:val="42"/>
        </w:rPr>
      </w:pPr>
    </w:p>
    <w:p w14:paraId="761A3C5A">
      <w:pPr>
        <w:spacing w:line="540" w:lineRule="exact"/>
        <w:jc w:val="center"/>
        <w:rPr>
          <w:rFonts w:ascii="仿宋_GB2312" w:hAnsi="华文中宋" w:eastAsia="仿宋_GB2312" w:cs="TT4AC8C67DtCID-WinCharSetFFFF-H"/>
          <w:color w:val="000000"/>
          <w:kern w:val="0"/>
          <w:sz w:val="42"/>
          <w:szCs w:val="42"/>
        </w:rPr>
      </w:pPr>
    </w:p>
    <w:p w14:paraId="75C75A63">
      <w:pPr>
        <w:spacing w:line="540" w:lineRule="exact"/>
        <w:jc w:val="center"/>
        <w:rPr>
          <w:rFonts w:ascii="仿宋_GB2312" w:hAnsi="华文中宋" w:eastAsia="仿宋_GB2312" w:cs="TT4AC8C67DtCID-WinCharSetFFFF-H"/>
          <w:color w:val="000000"/>
          <w:kern w:val="0"/>
          <w:sz w:val="42"/>
          <w:szCs w:val="42"/>
        </w:rPr>
      </w:pPr>
    </w:p>
    <w:p w14:paraId="56F7B94D">
      <w:pPr>
        <w:spacing w:line="540" w:lineRule="exact"/>
        <w:jc w:val="center"/>
        <w:rPr>
          <w:rFonts w:ascii="仿宋_GB2312" w:hAnsi="华文中宋" w:eastAsia="仿宋_GB2312" w:cs="TT4AC8C67DtCID-WinCharSetFFFF-H"/>
          <w:color w:val="000000"/>
          <w:kern w:val="0"/>
          <w:sz w:val="42"/>
          <w:szCs w:val="42"/>
        </w:rPr>
      </w:pPr>
    </w:p>
    <w:p w14:paraId="0B86D959">
      <w:pPr>
        <w:spacing w:line="540" w:lineRule="exact"/>
        <w:jc w:val="center"/>
        <w:rPr>
          <w:rFonts w:ascii="仿宋_GB2312" w:hAnsi="华文中宋" w:eastAsia="仿宋_GB2312" w:cs="TT4AC8C67DtCID-WinCharSetFFFF-H"/>
          <w:color w:val="000000"/>
          <w:kern w:val="0"/>
          <w:sz w:val="42"/>
          <w:szCs w:val="42"/>
        </w:rPr>
      </w:pPr>
    </w:p>
    <w:p w14:paraId="25DDBA1C">
      <w:pPr>
        <w:spacing w:line="540" w:lineRule="exact"/>
        <w:jc w:val="center"/>
        <w:rPr>
          <w:rFonts w:ascii="仿宋_GB2312" w:hAnsi="华文中宋" w:eastAsia="仿宋_GB2312" w:cs="TT4AC8C67DtCID-WinCharSetFFFF-H"/>
          <w:color w:val="000000"/>
          <w:kern w:val="0"/>
          <w:sz w:val="42"/>
          <w:szCs w:val="42"/>
        </w:rPr>
      </w:pPr>
    </w:p>
    <w:p w14:paraId="034A99B6">
      <w:pPr>
        <w:spacing w:line="540" w:lineRule="exact"/>
        <w:jc w:val="center"/>
        <w:rPr>
          <w:rFonts w:ascii="仿宋_GB2312" w:hAnsi="华文中宋" w:eastAsia="仿宋_GB2312" w:cs="TT4AC8C67DtCID-WinCharSetFFFF-H"/>
          <w:color w:val="000000"/>
          <w:kern w:val="0"/>
          <w:sz w:val="42"/>
          <w:szCs w:val="42"/>
        </w:rPr>
      </w:pPr>
    </w:p>
    <w:p w14:paraId="12DE42D7">
      <w:pPr>
        <w:spacing w:line="540" w:lineRule="exact"/>
        <w:jc w:val="center"/>
        <w:rPr>
          <w:rFonts w:ascii="仿宋_GB2312" w:hAnsi="华文中宋" w:eastAsia="仿宋_GB2312" w:cs="TT4AC8C67DtCID-WinCharSetFFFF-H"/>
          <w:color w:val="000000"/>
          <w:kern w:val="0"/>
          <w:sz w:val="42"/>
          <w:szCs w:val="42"/>
        </w:rPr>
      </w:pPr>
    </w:p>
    <w:p w14:paraId="2E20D3C2">
      <w:pPr>
        <w:spacing w:line="54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无锡交通分院</w:t>
      </w:r>
    </w:p>
    <w:p w14:paraId="184574A6">
      <w:pPr>
        <w:spacing w:line="54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202</w:t>
      </w:r>
      <w:r>
        <w:rPr>
          <w:rFonts w:hint="eastAsia" w:ascii="仿宋_GB2312" w:hAnsi="华文中宋" w:eastAsia="仿宋_GB2312" w:cs="TT4AC8C67DtCID-WinCharSetFFFF-H"/>
          <w:color w:val="000000"/>
          <w:kern w:val="0"/>
          <w:sz w:val="42"/>
          <w:szCs w:val="42"/>
          <w:lang w:val="en-US" w:eastAsia="zh-CN"/>
        </w:rPr>
        <w:t>5</w:t>
      </w:r>
      <w:r>
        <w:rPr>
          <w:rFonts w:hint="eastAsia" w:ascii="仿宋_GB2312" w:hAnsi="华文中宋" w:eastAsia="仿宋_GB2312" w:cs="TT4AC8C67DtCID-WinCharSetFFFF-H"/>
          <w:color w:val="000000"/>
          <w:kern w:val="0"/>
          <w:sz w:val="42"/>
          <w:szCs w:val="42"/>
        </w:rPr>
        <w:t>年12月</w:t>
      </w:r>
      <w:r>
        <w:rPr>
          <w:rFonts w:hint="eastAsia" w:ascii="仿宋_GB2312" w:hAnsi="华文中宋" w:eastAsia="仿宋_GB2312" w:cs="TT4AC8C67DtCID-WinCharSetFFFF-H"/>
          <w:color w:val="000000"/>
          <w:kern w:val="0"/>
          <w:sz w:val="42"/>
          <w:szCs w:val="42"/>
          <w:lang w:val="en-US" w:eastAsia="zh-CN"/>
        </w:rPr>
        <w:t>7</w:t>
      </w:r>
      <w:r>
        <w:rPr>
          <w:rFonts w:hint="eastAsia" w:ascii="仿宋_GB2312" w:hAnsi="华文中宋" w:eastAsia="仿宋_GB2312" w:cs="TT4AC8C67DtCID-WinCharSetFFFF-H"/>
          <w:color w:val="000000"/>
          <w:kern w:val="0"/>
          <w:sz w:val="42"/>
          <w:szCs w:val="42"/>
        </w:rPr>
        <w:t>日</w:t>
      </w:r>
    </w:p>
    <w:p w14:paraId="750B91BF">
      <w:pPr>
        <w:spacing w:line="540" w:lineRule="exact"/>
        <w:jc w:val="center"/>
        <w:rPr>
          <w:rFonts w:ascii="仿宋_GB2312" w:hAnsi="华文中宋" w:eastAsia="仿宋_GB2312" w:cs="TT4AC8C67DtCID-WinCharSetFFFF-H"/>
          <w:color w:val="000000"/>
          <w:kern w:val="0"/>
          <w:sz w:val="42"/>
          <w:szCs w:val="42"/>
        </w:rPr>
      </w:pPr>
    </w:p>
    <w:p w14:paraId="0162AFC8">
      <w:pPr>
        <w:spacing w:line="540" w:lineRule="exact"/>
        <w:jc w:val="center"/>
        <w:rPr>
          <w:rFonts w:ascii="仿宋_GB2312" w:hAnsi="华文中宋" w:eastAsia="仿宋_GB2312" w:cs="TT4AC8C67DtCID-WinCharSetFFFF-H"/>
          <w:color w:val="000000"/>
          <w:kern w:val="0"/>
          <w:sz w:val="42"/>
          <w:szCs w:val="42"/>
        </w:rPr>
      </w:pPr>
    </w:p>
    <w:p w14:paraId="194635A5">
      <w:pPr>
        <w:rPr>
          <w:rFonts w:hint="eastAsia" w:ascii="仿宋_GB2312" w:hAnsi="华文中宋" w:eastAsia="仿宋_GB2312" w:cs="TT4AC8C67DtCID-WinCharSetFFFF-H"/>
          <w:color w:val="000000"/>
          <w:kern w:val="0"/>
          <w:sz w:val="42"/>
          <w:szCs w:val="42"/>
        </w:rPr>
      </w:pPr>
      <w:r>
        <w:rPr>
          <w:rFonts w:hint="eastAsia" w:ascii="宋体" w:hAnsi="宋体" w:eastAsia="宋体" w:cs="宋体"/>
          <w:color w:val="000000" w:themeColor="text1"/>
          <w:sz w:val="28"/>
          <w:szCs w:val="28"/>
          <w14:textFill>
            <w14:solidFill>
              <w14:schemeClr w14:val="tx1"/>
            </w14:solidFill>
          </w14:textFill>
        </w:rPr>
        <w:br w:type="page"/>
      </w:r>
      <w:bookmarkStart w:id="30" w:name="_GoBack"/>
      <w:bookmarkEnd w:id="30"/>
    </w:p>
    <w:sdt>
      <w:sdtPr>
        <w:rPr>
          <w:rFonts w:ascii="宋体" w:hAnsi="宋体" w:eastAsia="宋体"/>
        </w:rPr>
        <w:id w:val="147472806"/>
        <w15:color w:val="DBDBDB"/>
        <w:docPartObj>
          <w:docPartGallery w:val="Table of Contents"/>
          <w:docPartUnique/>
        </w:docPartObj>
      </w:sdtPr>
      <w:sdtEndPr>
        <w:rPr>
          <w:rFonts w:ascii="宋体" w:hAnsi="宋体" w:eastAsia="宋体"/>
        </w:rPr>
      </w:sdtEndPr>
      <w:sdtContent>
        <w:p w14:paraId="75560482">
          <w:pPr>
            <w:jc w:val="center"/>
            <w:rPr>
              <w:b/>
              <w:bCs/>
              <w:sz w:val="36"/>
              <w:szCs w:val="44"/>
            </w:rPr>
          </w:pPr>
          <w:r>
            <w:rPr>
              <w:rFonts w:ascii="宋体" w:hAnsi="宋体" w:eastAsia="宋体"/>
              <w:b/>
              <w:bCs/>
              <w:sz w:val="36"/>
              <w:szCs w:val="44"/>
            </w:rPr>
            <w:t>目</w:t>
          </w:r>
          <w:r>
            <w:rPr>
              <w:rFonts w:hint="eastAsia" w:ascii="宋体" w:hAnsi="宋体" w:eastAsia="宋体"/>
              <w:b/>
              <w:bCs/>
              <w:sz w:val="36"/>
              <w:szCs w:val="44"/>
            </w:rPr>
            <w:t xml:space="preserve"> </w:t>
          </w:r>
          <w:r>
            <w:rPr>
              <w:rFonts w:ascii="宋体" w:hAnsi="宋体" w:eastAsia="宋体"/>
              <w:b/>
              <w:bCs/>
              <w:sz w:val="36"/>
              <w:szCs w:val="44"/>
            </w:rPr>
            <w:t>录</w:t>
          </w:r>
        </w:p>
        <w:p w14:paraId="7FF7E071">
          <w:pPr>
            <w:pStyle w:val="4"/>
            <w:tabs>
              <w:tab w:val="right" w:leader="dot" w:pos="8306"/>
            </w:tabs>
            <w:spacing w:line="400" w:lineRule="exact"/>
            <w:rPr>
              <w:rFonts w:hint="eastAsia" w:ascii="方正仿宋_GB18030" w:hAnsi="方正仿宋_GB18030" w:eastAsia="方正仿宋_GB18030" w:cs="方正仿宋_GB18030"/>
              <w:sz w:val="24"/>
              <w:szCs w:val="32"/>
            </w:rPr>
          </w:pP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TOC \o "1-2" \h \u </w:instrText>
          </w:r>
          <w:r>
            <w:rPr>
              <w:rFonts w:hint="eastAsia" w:ascii="方正仿宋_GB18030" w:hAnsi="方正仿宋_GB18030" w:eastAsia="方正仿宋_GB18030" w:cs="方正仿宋_GB18030"/>
              <w:sz w:val="24"/>
              <w:szCs w:val="32"/>
            </w:rPr>
            <w:fldChar w:fldCharType="separate"/>
          </w:r>
          <w:r>
            <w:fldChar w:fldCharType="begin"/>
          </w:r>
          <w:r>
            <w:instrText xml:space="preserve"> HYPERLINK \l "_Toc3533" </w:instrText>
          </w:r>
          <w:r>
            <w:fldChar w:fldCharType="separate"/>
          </w:r>
          <w:r>
            <w:rPr>
              <w:rFonts w:hint="eastAsia" w:ascii="方正仿宋_GB18030" w:hAnsi="方正仿宋_GB18030" w:eastAsia="方正仿宋_GB18030" w:cs="方正仿宋_GB18030"/>
              <w:sz w:val="24"/>
              <w:szCs w:val="36"/>
            </w:rPr>
            <w:t>一、概况</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_Toc3533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1</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36A3A92">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"_Toc29678" </w:instrText>
          </w:r>
          <w:r>
            <w:fldChar w:fldCharType="separate"/>
          </w:r>
          <w:r>
            <w:rPr>
              <w:rFonts w:hint="eastAsia" w:ascii="方正仿宋_GB18030" w:hAnsi="方正仿宋_GB18030" w:eastAsia="方正仿宋_GB18030" w:cs="方正仿宋_GB18030"/>
              <w:sz w:val="24"/>
              <w:szCs w:val="36"/>
            </w:rPr>
            <w:t>二、参与办学</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_Toc29678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1</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7D55E60D">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"_Toc15771" </w:instrText>
          </w:r>
          <w:r>
            <w:fldChar w:fldCharType="separate"/>
          </w:r>
          <w:r>
            <w:rPr>
              <w:rFonts w:hint="eastAsia" w:ascii="方正仿宋_GB18030" w:hAnsi="方正仿宋_GB18030" w:eastAsia="方正仿宋_GB18030" w:cs="方正仿宋_GB18030"/>
              <w:sz w:val="24"/>
              <w:szCs w:val="36"/>
            </w:rPr>
            <w:t>（一）共建合作平台，完善办学体系</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_Toc15771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1</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36779F4">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"_Toc3347" </w:instrText>
          </w:r>
          <w:r>
            <w:fldChar w:fldCharType="separate"/>
          </w:r>
          <w:r>
            <w:rPr>
              <w:rFonts w:hint="eastAsia" w:ascii="方正仿宋_GB18030" w:hAnsi="方正仿宋_GB18030" w:eastAsia="方正仿宋_GB18030" w:cs="方正仿宋_GB18030"/>
              <w:sz w:val="24"/>
              <w:szCs w:val="36"/>
            </w:rPr>
            <w:t>（二）创新办学模式，深化订单培养</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_Toc3347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2</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13BE81F3">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"_Toc30497" </w:instrText>
          </w:r>
          <w:r>
            <w:fldChar w:fldCharType="separate"/>
          </w:r>
          <w:r>
            <w:rPr>
              <w:rFonts w:hint="eastAsia" w:ascii="方正仿宋_GB18030" w:hAnsi="方正仿宋_GB18030" w:eastAsia="方正仿宋_GB18030" w:cs="方正仿宋_GB18030"/>
              <w:sz w:val="24"/>
              <w:szCs w:val="36"/>
            </w:rPr>
            <w:t>（三）联动政行企校，拓展办学维度</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_Toc30497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2</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0E8C07DE">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"_Toc21962" </w:instrText>
          </w:r>
          <w:r>
            <w:fldChar w:fldCharType="separate"/>
          </w:r>
          <w:r>
            <w:rPr>
              <w:rFonts w:hint="eastAsia" w:ascii="方正仿宋_GB18030" w:hAnsi="方正仿宋_GB18030" w:eastAsia="方正仿宋_GB18030" w:cs="方正仿宋_GB18030"/>
              <w:sz w:val="24"/>
              <w:szCs w:val="36"/>
            </w:rPr>
            <w:t>三、资源投入</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_Toc21962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2</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2D169928">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"_Toc12482" </w:instrText>
          </w:r>
          <w:r>
            <w:fldChar w:fldCharType="separate"/>
          </w:r>
          <w:r>
            <w:rPr>
              <w:rFonts w:hint="eastAsia" w:ascii="方正仿宋_GB18030" w:hAnsi="方正仿宋_GB18030" w:eastAsia="方正仿宋_GB18030" w:cs="方正仿宋_GB18030"/>
              <w:sz w:val="24"/>
              <w:szCs w:val="36"/>
            </w:rPr>
            <w:t>（一）资金投入</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_Toc12482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2</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56FE4E46">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"_Toc4788" </w:instrText>
          </w:r>
          <w:r>
            <w:fldChar w:fldCharType="separate"/>
          </w:r>
          <w:r>
            <w:rPr>
              <w:rFonts w:hint="eastAsia" w:ascii="方正仿宋_GB18030" w:hAnsi="方正仿宋_GB18030" w:eastAsia="方正仿宋_GB18030" w:cs="方正仿宋_GB18030"/>
              <w:sz w:val="24"/>
              <w:szCs w:val="36"/>
            </w:rPr>
            <w:t>（二）人力投入</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_Toc4788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3</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750DBCDA">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"_Toc19775" </w:instrText>
          </w:r>
          <w:r>
            <w:fldChar w:fldCharType="separate"/>
          </w:r>
          <w:r>
            <w:rPr>
              <w:rFonts w:hint="eastAsia" w:ascii="方正仿宋_GB18030" w:hAnsi="方正仿宋_GB18030" w:eastAsia="方正仿宋_GB18030" w:cs="方正仿宋_GB18030"/>
              <w:sz w:val="24"/>
              <w:szCs w:val="36"/>
            </w:rPr>
            <w:t>（三）场地与技术资源投入</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_Toc19775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3</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2B12E6D7">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"_Toc4515" </w:instrText>
          </w:r>
          <w:r>
            <w:fldChar w:fldCharType="separate"/>
          </w:r>
          <w:r>
            <w:rPr>
              <w:rFonts w:hint="eastAsia" w:ascii="方正仿宋_GB18030" w:hAnsi="方正仿宋_GB18030" w:eastAsia="方正仿宋_GB18030" w:cs="方正仿宋_GB18030"/>
              <w:sz w:val="24"/>
              <w:szCs w:val="36"/>
            </w:rPr>
            <w:t>四、参与教学</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_Toc4515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3</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0F2E9276">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"_Toc26840" </w:instrText>
          </w:r>
          <w:r>
            <w:fldChar w:fldCharType="separate"/>
          </w:r>
          <w:r>
            <w:rPr>
              <w:rFonts w:hint="eastAsia" w:ascii="方正仿宋_GB18030" w:hAnsi="方正仿宋_GB18030" w:eastAsia="方正仿宋_GB18030" w:cs="方正仿宋_GB18030"/>
              <w:sz w:val="24"/>
              <w:szCs w:val="36"/>
            </w:rPr>
            <w:t>（一）专业建设</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_Toc26840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3</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08B56FDE">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"_Toc13515" </w:instrText>
          </w:r>
          <w:r>
            <w:fldChar w:fldCharType="separate"/>
          </w:r>
          <w:r>
            <w:rPr>
              <w:rFonts w:hint="eastAsia" w:ascii="方正仿宋_GB18030" w:hAnsi="方正仿宋_GB18030" w:eastAsia="方正仿宋_GB18030" w:cs="方正仿宋_GB18030"/>
              <w:sz w:val="24"/>
              <w:szCs w:val="36"/>
            </w:rPr>
            <w:t>（二）学生培养</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_Toc13515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4</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33915790">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"_Toc24624" </w:instrText>
          </w:r>
          <w:r>
            <w:fldChar w:fldCharType="separate"/>
          </w:r>
          <w:r>
            <w:rPr>
              <w:rFonts w:hint="eastAsia" w:ascii="方正仿宋_GB18030" w:hAnsi="方正仿宋_GB18030" w:eastAsia="方正仿宋_GB18030" w:cs="方正仿宋_GB18030"/>
              <w:sz w:val="24"/>
              <w:szCs w:val="36"/>
            </w:rPr>
            <w:t>（三）师资队伍建设</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_Toc24624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4</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9D906D4">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"_Toc25714" </w:instrText>
          </w:r>
          <w:r>
            <w:fldChar w:fldCharType="separate"/>
          </w:r>
          <w:r>
            <w:rPr>
              <w:rFonts w:hint="eastAsia" w:ascii="方正仿宋_GB18030" w:hAnsi="方正仿宋_GB18030" w:eastAsia="方正仿宋_GB18030" w:cs="方正仿宋_GB18030"/>
              <w:sz w:val="24"/>
              <w:szCs w:val="36"/>
            </w:rPr>
            <w:t>五、助推企业发展</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_Toc25714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5</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45E7D2D9">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"_Toc26566" </w:instrText>
          </w:r>
          <w:r>
            <w:fldChar w:fldCharType="separate"/>
          </w:r>
          <w:r>
            <w:rPr>
              <w:rFonts w:hint="eastAsia" w:ascii="方正仿宋_GB18030" w:hAnsi="方正仿宋_GB18030" w:eastAsia="方正仿宋_GB18030" w:cs="方正仿宋_GB18030"/>
              <w:sz w:val="24"/>
              <w:szCs w:val="36"/>
            </w:rPr>
            <w:t>（一）人才供给保障</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_Toc26566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5</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990B4E2">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"_Toc814" </w:instrText>
          </w:r>
          <w:r>
            <w:fldChar w:fldCharType="separate"/>
          </w:r>
          <w:r>
            <w:rPr>
              <w:rFonts w:hint="eastAsia" w:ascii="方正仿宋_GB18030" w:hAnsi="方正仿宋_GB18030" w:eastAsia="方正仿宋_GB18030" w:cs="方正仿宋_GB18030"/>
              <w:sz w:val="24"/>
              <w:szCs w:val="36"/>
            </w:rPr>
            <w:t>（二）技术创新支撑</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_Toc814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5</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F782B13">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"_Toc32701" </w:instrText>
          </w:r>
          <w:r>
            <w:fldChar w:fldCharType="separate"/>
          </w:r>
          <w:r>
            <w:rPr>
              <w:rFonts w:hint="eastAsia" w:ascii="方正仿宋_GB18030" w:hAnsi="方正仿宋_GB18030" w:eastAsia="方正仿宋_GB18030" w:cs="方正仿宋_GB18030"/>
              <w:sz w:val="24"/>
              <w:szCs w:val="36"/>
            </w:rPr>
            <w:t>（三）员工技能提升</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_Toc32701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5</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70196419">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"_Toc8427" </w:instrText>
          </w:r>
          <w:r>
            <w:fldChar w:fldCharType="separate"/>
          </w:r>
          <w:r>
            <w:rPr>
              <w:rFonts w:hint="eastAsia" w:ascii="方正仿宋_GB18030" w:hAnsi="方正仿宋_GB18030" w:eastAsia="方正仿宋_GB18030" w:cs="方正仿宋_GB18030"/>
              <w:sz w:val="24"/>
              <w:szCs w:val="36"/>
            </w:rPr>
            <w:t>六、服务地方</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_Toc8427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1921F803">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"_Toc12096" </w:instrText>
          </w:r>
          <w:r>
            <w:fldChar w:fldCharType="separate"/>
          </w:r>
          <w:r>
            <w:rPr>
              <w:rFonts w:hint="eastAsia" w:ascii="方正仿宋_GB18030" w:hAnsi="方正仿宋_GB18030" w:eastAsia="方正仿宋_GB18030" w:cs="方正仿宋_GB18030"/>
              <w:sz w:val="24"/>
              <w:szCs w:val="36"/>
            </w:rPr>
            <w:t>（一）助力地方人才储备</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_Toc12096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47345857">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"_Toc19283" </w:instrText>
          </w:r>
          <w:r>
            <w:fldChar w:fldCharType="separate"/>
          </w:r>
          <w:r>
            <w:rPr>
              <w:rFonts w:hint="eastAsia" w:ascii="方正仿宋_GB18030" w:hAnsi="方正仿宋_GB18030" w:eastAsia="方正仿宋_GB18030" w:cs="方正仿宋_GB18030"/>
              <w:sz w:val="24"/>
              <w:szCs w:val="36"/>
            </w:rPr>
            <w:t>（二）开展社会培训服务</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_Toc19283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3E2DE5DC">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"_Toc3028" </w:instrText>
          </w:r>
          <w:r>
            <w:fldChar w:fldCharType="separate"/>
          </w:r>
          <w:r>
            <w:rPr>
              <w:rFonts w:hint="eastAsia" w:ascii="方正仿宋_GB18030" w:hAnsi="方正仿宋_GB18030" w:eastAsia="方正仿宋_GB18030" w:cs="方正仿宋_GB18030"/>
              <w:sz w:val="24"/>
              <w:szCs w:val="36"/>
            </w:rPr>
            <w:t>（三）搭建技能交流平台</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_Toc3028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01D8041D">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"_Toc3666" </w:instrText>
          </w:r>
          <w:r>
            <w:fldChar w:fldCharType="separate"/>
          </w:r>
          <w:r>
            <w:rPr>
              <w:rFonts w:hint="eastAsia" w:ascii="方正仿宋_GB18030" w:hAnsi="方正仿宋_GB18030" w:eastAsia="方正仿宋_GB18030" w:cs="方正仿宋_GB18030"/>
              <w:sz w:val="24"/>
              <w:szCs w:val="36"/>
            </w:rPr>
            <w:t>（四）服务地方交通建设</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_Toc3666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5722822F">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"_Toc29768" </w:instrText>
          </w:r>
          <w:r>
            <w:fldChar w:fldCharType="separate"/>
          </w:r>
          <w:r>
            <w:rPr>
              <w:rFonts w:hint="eastAsia" w:ascii="方正仿宋_GB18030" w:hAnsi="方正仿宋_GB18030" w:eastAsia="方正仿宋_GB18030" w:cs="方正仿宋_GB18030"/>
              <w:sz w:val="24"/>
              <w:szCs w:val="36"/>
            </w:rPr>
            <w:t>七、保障体系</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_Toc29768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1E92103">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"_Toc3523" </w:instrText>
          </w:r>
          <w:r>
            <w:fldChar w:fldCharType="separate"/>
          </w:r>
          <w:r>
            <w:rPr>
              <w:rFonts w:hint="eastAsia" w:ascii="方正仿宋_GB18030" w:hAnsi="方正仿宋_GB18030" w:eastAsia="方正仿宋_GB18030" w:cs="方正仿宋_GB18030"/>
              <w:sz w:val="24"/>
              <w:szCs w:val="36"/>
            </w:rPr>
            <w:t>（一）合作机制保障</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_Toc3523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6</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47A45C10">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"_Toc25645" </w:instrText>
          </w:r>
          <w:r>
            <w:fldChar w:fldCharType="separate"/>
          </w:r>
          <w:r>
            <w:rPr>
              <w:rFonts w:hint="eastAsia" w:ascii="方正仿宋_GB18030" w:hAnsi="方正仿宋_GB18030" w:eastAsia="方正仿宋_GB18030" w:cs="方正仿宋_GB18030"/>
              <w:sz w:val="24"/>
              <w:szCs w:val="36"/>
            </w:rPr>
            <w:t>（二）沟通协调机制保障</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_Toc25645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7</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076CA1D7">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"_Toc10640" </w:instrText>
          </w:r>
          <w:r>
            <w:fldChar w:fldCharType="separate"/>
          </w:r>
          <w:r>
            <w:rPr>
              <w:rFonts w:hint="eastAsia" w:ascii="方正仿宋_GB18030" w:hAnsi="方正仿宋_GB18030" w:eastAsia="方正仿宋_GB18030" w:cs="方正仿宋_GB18030"/>
              <w:sz w:val="24"/>
              <w:szCs w:val="36"/>
            </w:rPr>
            <w:t>（三）资源保障机制保障</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_Toc10640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7</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D896847">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"_Toc11252" </w:instrText>
          </w:r>
          <w:r>
            <w:fldChar w:fldCharType="separate"/>
          </w:r>
          <w:r>
            <w:rPr>
              <w:rFonts w:hint="eastAsia" w:ascii="方正仿宋_GB18030" w:hAnsi="方正仿宋_GB18030" w:eastAsia="方正仿宋_GB18030" w:cs="方正仿宋_GB18030"/>
              <w:sz w:val="24"/>
              <w:szCs w:val="36"/>
            </w:rPr>
            <w:t>（四）考核评价机制保障</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_Toc11252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7</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4B726E51">
          <w:pPr>
            <w:pStyle w:val="4"/>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"_Toc26571" </w:instrText>
          </w:r>
          <w:r>
            <w:fldChar w:fldCharType="separate"/>
          </w:r>
          <w:r>
            <w:rPr>
              <w:rFonts w:hint="eastAsia" w:ascii="方正仿宋_GB18030" w:hAnsi="方正仿宋_GB18030" w:eastAsia="方正仿宋_GB18030" w:cs="方正仿宋_GB18030"/>
              <w:sz w:val="24"/>
              <w:szCs w:val="36"/>
            </w:rPr>
            <w:t>八、问题与展望</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_Toc26571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7</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7FFF0372">
          <w:pPr>
            <w:pStyle w:val="5"/>
            <w:tabs>
              <w:tab w:val="right" w:leader="dot" w:pos="8306"/>
            </w:tabs>
            <w:spacing w:line="400" w:lineRule="exact"/>
            <w:rPr>
              <w:rFonts w:hint="eastAsia" w:ascii="方正仿宋_GB18030" w:hAnsi="方正仿宋_GB18030" w:eastAsia="方正仿宋_GB18030" w:cs="方正仿宋_GB18030"/>
              <w:sz w:val="24"/>
              <w:szCs w:val="32"/>
            </w:rPr>
          </w:pPr>
          <w:r>
            <w:fldChar w:fldCharType="begin"/>
          </w:r>
          <w:r>
            <w:instrText xml:space="preserve"> HYPERLINK \l "_Toc31532" </w:instrText>
          </w:r>
          <w:r>
            <w:fldChar w:fldCharType="separate"/>
          </w:r>
          <w:r>
            <w:rPr>
              <w:rFonts w:hint="eastAsia" w:ascii="方正仿宋_GB18030" w:hAnsi="方正仿宋_GB18030" w:eastAsia="方正仿宋_GB18030" w:cs="方正仿宋_GB18030"/>
              <w:sz w:val="24"/>
              <w:szCs w:val="36"/>
            </w:rPr>
            <w:t>（一）存在的问题</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_Toc31532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7</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75342D70">
          <w:pPr>
            <w:pStyle w:val="5"/>
            <w:tabs>
              <w:tab w:val="right" w:leader="dot" w:pos="8306"/>
            </w:tabs>
            <w:spacing w:line="400" w:lineRule="exact"/>
            <w:rPr>
              <w:rFonts w:hint="eastAsia" w:ascii="方正仿宋_GB18030" w:hAnsi="方正仿宋_GB18030" w:eastAsia="方正仿宋_GB18030" w:cs="方正仿宋_GB18030"/>
            </w:rPr>
          </w:pPr>
          <w:r>
            <w:fldChar w:fldCharType="begin"/>
          </w:r>
          <w:r>
            <w:instrText xml:space="preserve"> HYPERLINK \l "_Toc31878" </w:instrText>
          </w:r>
          <w:r>
            <w:fldChar w:fldCharType="separate"/>
          </w:r>
          <w:r>
            <w:rPr>
              <w:rFonts w:hint="eastAsia" w:ascii="方正仿宋_GB18030" w:hAnsi="方正仿宋_GB18030" w:eastAsia="方正仿宋_GB18030" w:cs="方正仿宋_GB18030"/>
              <w:sz w:val="24"/>
              <w:szCs w:val="36"/>
            </w:rPr>
            <w:t>（二）未来展望</w:t>
          </w:r>
          <w:r>
            <w:rPr>
              <w:rFonts w:hint="eastAsia" w:ascii="方正仿宋_GB18030" w:hAnsi="方正仿宋_GB18030" w:eastAsia="方正仿宋_GB18030" w:cs="方正仿宋_GB18030"/>
              <w:sz w:val="24"/>
              <w:szCs w:val="32"/>
            </w:rPr>
            <w:tab/>
          </w:r>
          <w:r>
            <w:rPr>
              <w:rFonts w:hint="eastAsia" w:ascii="方正仿宋_GB18030" w:hAnsi="方正仿宋_GB18030" w:eastAsia="方正仿宋_GB18030" w:cs="方正仿宋_GB18030"/>
              <w:sz w:val="24"/>
              <w:szCs w:val="32"/>
            </w:rPr>
            <w:fldChar w:fldCharType="begin"/>
          </w:r>
          <w:r>
            <w:rPr>
              <w:rFonts w:hint="eastAsia" w:ascii="方正仿宋_GB18030" w:hAnsi="方正仿宋_GB18030" w:eastAsia="方正仿宋_GB18030" w:cs="方正仿宋_GB18030"/>
              <w:sz w:val="24"/>
              <w:szCs w:val="32"/>
            </w:rPr>
            <w:instrText xml:space="preserve"> PAGEREF _Toc31878 \h </w:instrText>
          </w:r>
          <w:r>
            <w:rPr>
              <w:rFonts w:hint="eastAsia" w:ascii="方正仿宋_GB18030" w:hAnsi="方正仿宋_GB18030" w:eastAsia="方正仿宋_GB18030" w:cs="方正仿宋_GB18030"/>
              <w:sz w:val="24"/>
              <w:szCs w:val="32"/>
            </w:rPr>
            <w:fldChar w:fldCharType="separate"/>
          </w:r>
          <w:r>
            <w:rPr>
              <w:rFonts w:hint="eastAsia" w:ascii="方正仿宋_GB18030" w:hAnsi="方正仿宋_GB18030" w:eastAsia="方正仿宋_GB18030" w:cs="方正仿宋_GB18030"/>
              <w:sz w:val="24"/>
              <w:szCs w:val="32"/>
            </w:rPr>
            <w:t>8</w:t>
          </w:r>
          <w:r>
            <w:rPr>
              <w:rFonts w:hint="eastAsia" w:ascii="方正仿宋_GB18030" w:hAnsi="方正仿宋_GB18030" w:eastAsia="方正仿宋_GB18030" w:cs="方正仿宋_GB18030"/>
              <w:sz w:val="24"/>
              <w:szCs w:val="32"/>
            </w:rPr>
            <w:fldChar w:fldCharType="end"/>
          </w:r>
          <w:r>
            <w:rPr>
              <w:rFonts w:hint="eastAsia" w:ascii="方正仿宋_GB18030" w:hAnsi="方正仿宋_GB18030" w:eastAsia="方正仿宋_GB18030" w:cs="方正仿宋_GB18030"/>
              <w:sz w:val="24"/>
              <w:szCs w:val="32"/>
            </w:rPr>
            <w:fldChar w:fldCharType="end"/>
          </w:r>
        </w:p>
        <w:p w14:paraId="6DC019CC">
          <w:pPr>
            <w:spacing w:line="400" w:lineRule="exact"/>
          </w:pPr>
          <w:r>
            <w:rPr>
              <w:rFonts w:hint="eastAsia" w:ascii="方正仿宋_GB18030" w:hAnsi="方正仿宋_GB18030" w:eastAsia="方正仿宋_GB18030" w:cs="方正仿宋_GB18030"/>
              <w:szCs w:val="22"/>
            </w:rPr>
            <w:fldChar w:fldCharType="end"/>
          </w:r>
        </w:p>
      </w:sdtContent>
    </w:sdt>
    <w:p w14:paraId="7DAA878A"/>
    <w:p w14:paraId="121EB0A6">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sectPr>
          <w:footerReference r:id="rId3" w:type="default"/>
          <w:pgSz w:w="11906" w:h="16838"/>
          <w:pgMar w:top="1440" w:right="1800" w:bottom="1440" w:left="1800" w:header="851" w:footer="992" w:gutter="0"/>
          <w:pgNumType w:start="1"/>
          <w:cols w:space="425" w:num="1"/>
          <w:docGrid w:type="lines" w:linePitch="312" w:charSpace="0"/>
        </w:sectPr>
      </w:pPr>
      <w:bookmarkStart w:id="0" w:name="_Toc3533"/>
    </w:p>
    <w:p w14:paraId="3E6B78FE">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r>
        <w:rPr>
          <w:rFonts w:hint="eastAsia" w:ascii="黑体" w:hAnsi="黑体" w:eastAsia="黑体" w:cs="黑体"/>
          <w:color w:val="000000" w:themeColor="text1"/>
          <w:sz w:val="28"/>
          <w:szCs w:val="28"/>
          <w14:textFill>
            <w14:solidFill>
              <w14:schemeClr w14:val="tx1"/>
            </w14:solidFill>
          </w14:textFill>
        </w:rPr>
        <w:t>一、概况</w:t>
      </w:r>
      <w:bookmarkEnd w:id="0"/>
    </w:p>
    <w:p w14:paraId="3C0D73F4">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无锡交通建设工程集团有限公司是一家集交通工程、市政工程、房建工程等多项业务为一体的大型国有企业，作为全市唯一一家具备建筑工程施工总承包特级、国家公路工程施工总承包一级等全资质的国有企业，公司实力雄厚，承建项目屡获鲁班奖、国家优质工程奖等行业顶级荣誉，已形成年产值能力超百亿级的区域性龙头企业规模，在交通建设领域具有显著的行业影响力和资源优势。</w:t>
      </w:r>
    </w:p>
    <w:p w14:paraId="6B261CA6">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江苏省无锡交通高等职业技术学校隶属于江苏省交通运输厅，秉承 “立足交通行业，服务地方经济” 的办学理念，先后获评江苏省高水平现代化职业学校、江苏省现代化示范性职业学校、江苏省中等职业教育 “领航计划” 建设单位等多项荣誉，在职业教育领域积累了深厚的办学底蕴和优质的教育资源。</w:t>
      </w:r>
    </w:p>
    <w:p w14:paraId="3025F14F">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为深入贯彻落实《国家职业教育改革实施方案》，充分发挥校企双方优势，服务地方经济社会发展，校企双方秉持“优势互补、共谋发展、互惠互利、合作共赢”的核心原则，开启全方位、多领域的深度合作。2018年，双方签署校企战略合作框架协议，奠定合作基础；2021年，共建江苏交通工程试验检测技术研究中心并签订 “无锡交建订单班”协议，推动合作落地；2025 年11月，续签“无锡交建订单班”人才培养协议，持续深化合作内涵。通过多年协作，校企双方已构建起“资源共享、人才共育、技术共研、成果共用”的良性合作生态，为区域交通行业高质量发展提供了坚实的人才支撑和技术保障。</w:t>
      </w:r>
    </w:p>
    <w:p w14:paraId="3AA737D8">
      <w:pPr>
        <w:widowControl/>
        <w:numPr>
          <w:ilvl w:val="0"/>
          <w:numId w:val="1"/>
        </w:numPr>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1" w:name="_Toc29678"/>
      <w:r>
        <w:rPr>
          <w:rFonts w:hint="eastAsia" w:ascii="黑体" w:hAnsi="黑体" w:eastAsia="黑体" w:cs="黑体"/>
          <w:color w:val="000000" w:themeColor="text1"/>
          <w:sz w:val="28"/>
          <w:szCs w:val="28"/>
          <w14:textFill>
            <w14:solidFill>
              <w14:schemeClr w14:val="tx1"/>
            </w14:solidFill>
          </w14:textFill>
        </w:rPr>
        <w:t>参与办学</w:t>
      </w:r>
      <w:bookmarkEnd w:id="1"/>
      <w:bookmarkStart w:id="2" w:name="_Toc15771"/>
    </w:p>
    <w:p w14:paraId="3C1632A2">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（一）共建合作平台，完善办学体系</w:t>
      </w:r>
      <w:bookmarkEnd w:id="2"/>
    </w:p>
    <w:p w14:paraId="3AA15089">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校企联合成立江苏交通工程试验检测技术研究中心，共建工地试验室，搭建起集教学、科研、实训、技术服务于一体的综合性平台。依托该平台，双方整合校企资源，开展定向办班、岗位技能培训、短期集训等多元化教学活动，实现教育资源与产业资源的有机衔接。同时，企业积极支持学校以道路与桥梁工程技术专业为龙头，参与 “无锡市职业教育现代化专业群”“江苏联合职业技术学院高水平专业群”“五年制高职现代学徒制示范专业点”等多个重点项目的申报与建设，推动教育链与产业链深度融合。</w:t>
      </w:r>
    </w:p>
    <w:p w14:paraId="599B6FE2">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3" w:name="_Toc3347"/>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（二）创新办学模式，深化订单培养</w:t>
      </w:r>
      <w:bookmarkEnd w:id="3"/>
    </w:p>
    <w:p w14:paraId="3B202252">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无锡交建订单班”作为校企合作的核心载体，已形成成熟的人才培养机制。企业深度参与订单班的全过程管理，从人才培养方案修订、课程标准制定到教学资源建设，均融入企业实际需求和行业发展趋势。通过传播企业文化、设立“无锡交建奖学金”等方式，激发学生学习热情，明确职业发展方向。订单班学生在企业技术人员的指导下，参与实际项目实践，提前熟悉岗位要求，实现“在校学习与企业岗位”的无缝衔接，为高质量就业奠定坚实基础。</w:t>
      </w:r>
    </w:p>
    <w:p w14:paraId="5AD168DF">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4" w:name="_Toc30497"/>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（三）联动政行企校，拓展办学维度</w:t>
      </w:r>
      <w:bookmarkEnd w:id="4"/>
    </w:p>
    <w:p w14:paraId="2EB11EFC">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积极推动政府、行业、企业、学校四方联动，形成办学合力。在政府部门支持下，共建中央财政支持的道路桥梁工程技术实训基地、江苏省交通运输厅职业教育道路桥梁健康监测实训基地；依托江苏省交通运输职业教育行业指导委员会，获批江苏省首批、第二批交通运输职业教育示范性教师企业实践流动站；联合行业协会开展技能培训、竞赛等活动，拓宽办学的广度和深度，提升职业教育的社会认可度和行业适配性。</w:t>
      </w:r>
    </w:p>
    <w:p w14:paraId="5BFE7992">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5" w:name="_Toc21962"/>
      <w:r>
        <w:rPr>
          <w:rFonts w:hint="eastAsia" w:ascii="黑体" w:hAnsi="黑体" w:eastAsia="黑体" w:cs="黑体"/>
          <w:color w:val="000000" w:themeColor="text1"/>
          <w:sz w:val="28"/>
          <w:szCs w:val="28"/>
          <w14:textFill>
            <w14:solidFill>
              <w14:schemeClr w14:val="tx1"/>
            </w14:solidFill>
          </w14:textFill>
        </w:rPr>
        <w:t>三、资源投入</w:t>
      </w:r>
      <w:bookmarkEnd w:id="5"/>
    </w:p>
    <w:p w14:paraId="4C8AAF94">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6" w:name="_Toc12482"/>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（一）资金投入</w:t>
      </w:r>
      <w:bookmarkEnd w:id="6"/>
    </w:p>
    <w:p w14:paraId="7F7E9CED">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无锡交建集团持续加大对校企合作的资金支持力度，每年专项投入10万元用于学校道路与桥梁工程技术专业建设，涵盖教学资源开发、实训设备升级、项目申报等多个方面；设立“无锡交建奖学金”，每年出资2万元奖励订单班中表现优异的学生，激励学生勤学苦练、争先创优，为人才培养注入动力。</w:t>
      </w:r>
    </w:p>
    <w:p w14:paraId="375719F9">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7" w:name="_Toc4788"/>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（二）人力投入</w:t>
      </w:r>
      <w:bookmarkEnd w:id="7"/>
    </w:p>
    <w:p w14:paraId="238C3243">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选派业务精良、经验丰富的工程技术人员担任学校兼职教师，累计引进10名企业骨干，其中高级以上职称、本科以上学历、持有监理工程师等行业执业资格的比例均达100%，为教学提供了强有力的师资保障；聘请廖芳龄高级工程师等4名行业专家担任学校产业教授，定期开展技术指导、专题讲座等活动，提升教学的专业性和实践性。</w:t>
      </w:r>
    </w:p>
    <w:p w14:paraId="5470EEC8">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8" w:name="_Toc19775"/>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（三）场地与技术资源投入</w:t>
      </w:r>
      <w:bookmarkEnd w:id="8"/>
    </w:p>
    <w:p w14:paraId="0B856293">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为学生提供充足的校外实训场地，将企业工程项目现场作为 “实景课堂”，助力学生将理论知识转化为实操能力；开放企业技术资源，共享新材料、新工艺、新规范等行业前沿信息，为学校教学改革、教材开发、科研攻关提供支撑；联合共建工地试验室，整合校企设备资源，打造集实训、科研、技术服务于一体的实践平台，提升实践教学的硬件水平。</w:t>
      </w:r>
    </w:p>
    <w:p w14:paraId="172354CE">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9" w:name="_Toc4515"/>
      <w:r>
        <w:rPr>
          <w:rFonts w:hint="eastAsia" w:ascii="黑体" w:hAnsi="黑体" w:eastAsia="黑体" w:cs="黑体"/>
          <w:color w:val="000000" w:themeColor="text1"/>
          <w:sz w:val="28"/>
          <w:szCs w:val="28"/>
          <w14:textFill>
            <w14:solidFill>
              <w14:schemeClr w14:val="tx1"/>
            </w14:solidFill>
          </w14:textFill>
        </w:rPr>
        <w:t>四、参与教学</w:t>
      </w:r>
      <w:bookmarkEnd w:id="9"/>
    </w:p>
    <w:p w14:paraId="41792D8A">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0" w:name="_Toc26840"/>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（一）专业建设</w:t>
      </w:r>
      <w:bookmarkEnd w:id="10"/>
    </w:p>
    <w:p w14:paraId="60D4E4A4">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企业参与人才培养方案修订：企业专业技术人员深度参与道路与桥梁工程技术专业实施性人才培养方案的论证与修订，结合行业发展现状和企业岗位需求，优化课程设置，突出技能培养，确保人才培养目标与行业需求高度契合。</w:t>
      </w:r>
    </w:p>
    <w:p w14:paraId="62545BCA">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教学中融入行业前沿内容：将企业在实际工程中应用的新材料、新工艺、新规范融入课堂教学和实训指导，编写贴合岗位实际的实训教材，开发《公路工程检测实训指导》《道路建筑材料实训指导》等一批实用性强的教学资源，让学生及时掌握行业最新技术动态。</w:t>
      </w:r>
    </w:p>
    <w:p w14:paraId="59524A05">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3.共建教学资源库与专业群：校企联合建设道路与桥梁工程技术专业教学资源库，该资源库被评为江苏省职业教育教学资源库；共同推进江苏联合职业技术学院高水平专业群建设并通过验收，成功申报五年制高职现代学徒制示范专业点和高水平产业学院，提升专业建设的整体水平。</w:t>
      </w:r>
    </w:p>
    <w:p w14:paraId="44EE8266">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1" w:name="_Toc13515"/>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（二）学生培养</w:t>
      </w:r>
      <w:bookmarkEnd w:id="11"/>
    </w:p>
    <w:p w14:paraId="0D0D6211">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订单式培养：通过“无锡交建订单班”实现定向培养，校企共同制定培养计划，企业全程参与教学管理和考核评价，订单班学生朱金丰获无锡市职业教育“技能雏鹰”称号，多名学生毕业后直接入职企业，成为岗位骨干。</w:t>
      </w:r>
    </w:p>
    <w:p w14:paraId="5577E5F0">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实践能力培养：为学生定制切实可行的顶岗实习计划，安排企业技术人员担任实习指导老师，全程跟踪指导，提升学生的岗位实操能力和综合素质；创新“现场教学法”，组织专业群师生深入工程项目现场开展实践活动，实现理论与实践深度融合。</w:t>
      </w:r>
    </w:p>
    <w:p w14:paraId="73BD1821">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3.以赛促学与岗课赛证融通：积极推动“以赛促教、以赛促学、以赛促改”，支持师生参与工程测量、建筑信息模型建模、无损检测等各类技能竞赛，屡获佳绩，其中中职组国赛金牌实现学校历史性突破；大力推进交通运输类职业技能能力，加强岗课赛证融通，提升学生的就业竞争力。</w:t>
      </w:r>
    </w:p>
    <w:p w14:paraId="38539211">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4.多路径人才成长通道：支持学校开展中高职贯通培养，自 2014 级起，连续10年与南京交通职业技术学院合作开设“3+3”中高职贯通培养班，打破中职学生升学“天花板”；2019 -2025年，与新西兰奥塔哥理工学院合作创办土木工程本科培养贯通班，学生完成国内4.5年高职学习后，可赴新深造2年获取学士学位，，2024年11月，组织8名优秀学生赴新访学交流，为学生搭建国际化人才成长平台。</w:t>
      </w:r>
    </w:p>
    <w:p w14:paraId="79175530">
      <w:pPr>
        <w:widowControl/>
        <w:spacing w:line="500" w:lineRule="exact"/>
        <w:ind w:firstLine="562" w:firstLineChars="200"/>
        <w:outlineLvl w:val="0"/>
        <w:rPr>
          <w:rFonts w:hint="eastAsia" w:ascii="宋体" w:hAnsi="宋体" w:eastAsia="宋体" w:cs="宋体"/>
          <w:color w:val="000000" w:themeColor="text1"/>
          <w:sz w:val="28"/>
          <w:szCs w:val="28"/>
          <w14:textFill>
            <w14:solidFill>
              <w14:schemeClr w14:val="tx1"/>
            </w14:solidFill>
          </w14:textFill>
        </w:rPr>
      </w:pPr>
      <w:bookmarkStart w:id="12" w:name="_Toc24624"/>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（三）师资队伍建设</w:t>
      </w:r>
      <w:bookmarkEnd w:id="12"/>
    </w:p>
    <w:p w14:paraId="0F2C096D">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1.兼职教师队伍建设：选派10名企业工程技术骨干担任兼职教师，不定期开展现场教学和专题讲座，分享一线工程经验和行业新技术，丰富教学内容和形式，促进理论教学与实践教学的融合。</w:t>
      </w:r>
    </w:p>
    <w:p w14:paraId="27725F29">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2.产业教授聘任：聘请4名行业资深专家担任产业教授，参与学校教学改革、专业建设、科研项目等工作，为师资队伍建设提供专业指导，提升教师的行业素养和科研能力。</w:t>
      </w:r>
    </w:p>
    <w:p w14:paraId="69B96316">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3.教师实践能力提升：共建“交通工程智慧检测教师企业实践流动站”，获批江苏省首批、第二批交通运输职业教育示范性教师企业实践流动站培育名单，为学校教师提供企业实践平台；接收学校优秀青年教师赴企业一线实践，让教师深入了解生产管理情况，提升“双师型”素养，形成“企业实践 + 教学应用”的良性循环。</w:t>
      </w:r>
    </w:p>
    <w:p w14:paraId="081B2FDE">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4.教学交流与研讨：搭建校企师资交流平台，定期组织校企教师开展教学研讨、技术交流等活动，分享教学经验和工程案例，共同解决教学中遇到的难点问题，提升整体教学水平。</w:t>
      </w:r>
    </w:p>
    <w:p w14:paraId="16080834">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13" w:name="_Toc25714"/>
      <w:r>
        <w:rPr>
          <w:rFonts w:hint="eastAsia" w:ascii="黑体" w:hAnsi="黑体" w:eastAsia="黑体" w:cs="黑体"/>
          <w:color w:val="000000" w:themeColor="text1"/>
          <w:sz w:val="28"/>
          <w:szCs w:val="28"/>
          <w14:textFill>
            <w14:solidFill>
              <w14:schemeClr w14:val="tx1"/>
            </w14:solidFill>
          </w14:textFill>
        </w:rPr>
        <w:t>五、助推企业发展</w:t>
      </w:r>
      <w:bookmarkEnd w:id="13"/>
    </w:p>
    <w:p w14:paraId="4D2F8157">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4" w:name="_Toc26566"/>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（一）人才供给保障</w:t>
      </w:r>
      <w:bookmarkEnd w:id="14"/>
    </w:p>
    <w:p w14:paraId="3281C744">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通过订单班培养、毕业生输送等方式，为企业持续输送高素质技术技能人才，近三年学校毕业生对口就业率达85%，在锡就业率82%，大量毕业生入职后快速适应岗位需求，成为企业生产经营的骨干力量，有效缓解了企业对交通工程建设人才的需求压力。</w:t>
      </w:r>
    </w:p>
    <w:p w14:paraId="37C63B51">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5" w:name="_Toc814"/>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（二）技术创新支撑</w:t>
      </w:r>
      <w:bookmarkEnd w:id="15"/>
    </w:p>
    <w:p w14:paraId="4ADE746F">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联合组建2个校级科研创新团队，开展技术攻关、项目孵化、技术咨询、成果转化等协同创新项目，依托江苏交通工程试验检测技术研究中心，将学校的科研优势与企业的实践优势相结合，解决工程实际中遇到的技术难题，提升企业的技术创新能力和核心竞争力。</w:t>
      </w:r>
    </w:p>
    <w:p w14:paraId="53259047">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6" w:name="_Toc32701"/>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（三）员工技能提升</w:t>
      </w:r>
      <w:bookmarkEnd w:id="16"/>
    </w:p>
    <w:p w14:paraId="631CD858">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借助学校的教育资源，为企业一线员工开展岗位技能培训、新技术新材料培训等，同时为无锡市政集团照明公司技术人员、无锡羊尖收费站转岗人员等开展专项培训，累计培训达500人次以上，有效提升了企业员工及相关行业人员的业务水平和技能素养，为企业高质量发展提供了人才支撑。</w:t>
      </w:r>
    </w:p>
    <w:p w14:paraId="64A49F07">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17" w:name="_Toc8427"/>
      <w:r>
        <w:rPr>
          <w:rFonts w:hint="eastAsia" w:ascii="黑体" w:hAnsi="黑体" w:eastAsia="黑体" w:cs="黑体"/>
          <w:color w:val="000000" w:themeColor="text1"/>
          <w:sz w:val="28"/>
          <w:szCs w:val="28"/>
          <w14:textFill>
            <w14:solidFill>
              <w14:schemeClr w14:val="tx1"/>
            </w14:solidFill>
          </w14:textFill>
        </w:rPr>
        <w:t>六、服务地方</w:t>
      </w:r>
      <w:bookmarkEnd w:id="17"/>
    </w:p>
    <w:p w14:paraId="1A75C170">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8" w:name="_Toc12096"/>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（一）助力地方人才储备</w:t>
      </w:r>
      <w:bookmarkEnd w:id="18"/>
    </w:p>
    <w:p w14:paraId="328A9CC3">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为无锡及周边地区交通工程建设领域培养和输送了约两千名专业人才，毕业生在锡就业率达82%，为地方交通行业持续健康发展提供了稳定的人才保障，有力支撑了地方经济建设。</w:t>
      </w:r>
    </w:p>
    <w:p w14:paraId="0AACABBA">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19" w:name="_Toc19283"/>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（二）开展社会培训服务</w:t>
      </w:r>
      <w:bookmarkEnd w:id="19"/>
    </w:p>
    <w:p w14:paraId="1D44AB9B">
      <w:pPr>
        <w:widowControl/>
        <w:spacing w:line="500" w:lineRule="exact"/>
        <w:ind w:firstLine="560" w:firstLineChars="200"/>
        <w:rPr>
          <w:rFonts w:hint="eastAsia" w:ascii="宋体" w:hAnsi="宋体" w:eastAsia="宋体" w:cs="宋体"/>
          <w:color w:val="000000" w:themeColor="text1"/>
          <w:spacing w:val="-6"/>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学校联合江苏省交通监理协会开展 “公路监理员业务培训班”，培训超500人次；为江苏省高速公路管理局盐锡支队开展公路桥梁养护技术、交通运输法律法规等岗位技能培训约200人次；为相关企业转岗人员、技术人员开展工程测量中级工培训、再就业培训等 30 余</w:t>
      </w:r>
      <w:r>
        <w:rPr>
          <w:rFonts w:hint="eastAsia" w:ascii="宋体" w:hAnsi="宋体" w:eastAsia="宋体" w:cs="宋体"/>
          <w:color w:val="000000" w:themeColor="text1"/>
          <w:spacing w:val="-6"/>
          <w:sz w:val="28"/>
          <w:szCs w:val="28"/>
          <w14:textFill>
            <w14:solidFill>
              <w14:schemeClr w14:val="tx1"/>
            </w14:solidFill>
          </w14:textFill>
        </w:rPr>
        <w:t>人次，通过多元化培训服务，提升了地方交通行业从业人员的整体素质。</w:t>
      </w:r>
    </w:p>
    <w:p w14:paraId="6E781327">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0" w:name="_Toc3028"/>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（三）搭建技能交流平台</w:t>
      </w:r>
      <w:bookmarkEnd w:id="20"/>
    </w:p>
    <w:p w14:paraId="0F83A1B4">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2024年9月，联合举办“无锡交建杯”职工技能比赛，为交通建设行业职工搭建了高水平的技能交流平台，激发了广大职工学习技术、钻研业务的热情，有效提升了区域交通建设行业的整体技能水平，助力地方交通行业提质增效。</w:t>
      </w:r>
    </w:p>
    <w:p w14:paraId="47DF2479">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1" w:name="_Toc3666"/>
      <w:r>
        <w:rPr>
          <w:rFonts w:hint="eastAsia" w:asciiTheme="majorEastAsia" w:hAnsiTheme="majorEastAsia" w:eastAsiaTheme="majorEastAsia" w:cstheme="majorEastAsia"/>
          <w:b/>
          <w:bCs/>
          <w:color w:val="000000" w:themeColor="text1"/>
          <w:sz w:val="28"/>
          <w:szCs w:val="28"/>
          <w14:textFill>
            <w14:solidFill>
              <w14:schemeClr w14:val="tx1"/>
            </w14:solidFill>
          </w14:textFill>
        </w:rPr>
        <w:t>（四）服务地方交通建设</w:t>
      </w:r>
      <w:bookmarkEnd w:id="21"/>
    </w:p>
    <w:p w14:paraId="568704A1">
      <w:pPr>
        <w:widowControl/>
        <w:spacing w:line="500" w:lineRule="exact"/>
        <w:ind w:firstLine="560" w:firstLineChars="200"/>
        <w:rPr>
          <w:rFonts w:hint="eastAsia" w:ascii="宋体" w:hAnsi="宋体" w:eastAsia="宋体" w:cs="宋体"/>
          <w:color w:val="000000" w:themeColor="text1"/>
          <w:spacing w:val="-6"/>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校企联合开展技术攻关和成果转化，解决地方交通工程建设中的实际问题；参与地方交通领域相关项目的咨询与服务，为地方交通基</w:t>
      </w:r>
      <w:r>
        <w:rPr>
          <w:rFonts w:hint="eastAsia" w:ascii="宋体" w:hAnsi="宋体" w:eastAsia="宋体" w:cs="宋体"/>
          <w:color w:val="000000" w:themeColor="text1"/>
          <w:spacing w:val="-6"/>
          <w:sz w:val="28"/>
          <w:szCs w:val="28"/>
          <w14:textFill>
            <w14:solidFill>
              <w14:schemeClr w14:val="tx1"/>
            </w14:solidFill>
          </w14:textFill>
        </w:rPr>
        <w:t>础设施建设、养护管理等提供技术支持，推动地方交通事业高质量发展。</w:t>
      </w:r>
    </w:p>
    <w:p w14:paraId="14C98A0E">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22" w:name="_Toc29768"/>
      <w:r>
        <w:rPr>
          <w:rFonts w:hint="eastAsia" w:ascii="黑体" w:hAnsi="黑体" w:eastAsia="黑体" w:cs="黑体"/>
          <w:color w:val="000000" w:themeColor="text1"/>
          <w:sz w:val="28"/>
          <w:szCs w:val="28"/>
          <w14:textFill>
            <w14:solidFill>
              <w14:schemeClr w14:val="tx1"/>
            </w14:solidFill>
          </w14:textFill>
        </w:rPr>
        <w:t>七、保障体系</w:t>
      </w:r>
      <w:bookmarkEnd w:id="22"/>
      <w:r>
        <w:rPr>
          <w:rFonts w:hint="eastAsia" w:ascii="黑体" w:hAnsi="黑体" w:eastAsia="黑体" w:cs="黑体"/>
          <w:color w:val="000000" w:themeColor="text1"/>
          <w:sz w:val="28"/>
          <w:szCs w:val="28"/>
          <w14:textFill>
            <w14:solidFill>
              <w14:schemeClr w14:val="tx1"/>
            </w14:solidFill>
          </w14:textFill>
        </w:rPr>
        <w:t xml:space="preserve"> </w:t>
      </w:r>
    </w:p>
    <w:p w14:paraId="12C1EE57">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3" w:name="_Toc3523"/>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（一）合作机制保障</w:t>
      </w:r>
      <w:bookmarkEnd w:id="23"/>
    </w:p>
    <w:p w14:paraId="34E13C60">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校企双方签订战略合作框架协议、订单班人才培养协议等一系列合作文件，明确合作目标、内容、责任和权利，形成稳定的合作机制；定期召开合作推进会、人才培养论证会等，及时沟通解决合作过程中出现的问题，保障合作持续深入开展。</w:t>
      </w:r>
    </w:p>
    <w:p w14:paraId="3FD5EE44">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4" w:name="_Toc25645"/>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（二）沟通协调机制保障</w:t>
      </w:r>
      <w:bookmarkEnd w:id="24"/>
    </w:p>
    <w:p w14:paraId="0D2273CF">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建立校企常态化沟通协调机制，通过设立专门的合作联络人、定期走访、线上会议等方式，加强校企之间的信息共享和工作对接；在专业建设、教学实施、学生培养、科研合作等各个环节保持密切沟通，确保各项合作举措落地见效。</w:t>
      </w:r>
    </w:p>
    <w:p w14:paraId="7DC17C26">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5" w:name="_Toc10640"/>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（三）资源保障机制保障</w:t>
      </w:r>
      <w:bookmarkEnd w:id="25"/>
    </w:p>
    <w:p w14:paraId="02C4C79A">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企业建立稳定的资金投入机制，每年按时足额拨付专业建设资金和奖学金；学校为合作项目提供必要的教学场地、师资配备和管理服务；双方共同整合技术、设备、人才等资源，为合作项目的顺利开展提供全方位保障。</w:t>
      </w:r>
    </w:p>
    <w:p w14:paraId="522A13EB">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6" w:name="_Toc11252"/>
      <w:r>
        <w:rPr>
          <w:rFonts w:hint="eastAsia" w:asciiTheme="majorEastAsia" w:hAnsiTheme="majorEastAsia" w:eastAsiaTheme="majorEastAsia" w:cstheme="majorEastAsia"/>
          <w:b/>
          <w:bCs/>
          <w:color w:val="000000" w:themeColor="text1"/>
          <w:sz w:val="28"/>
          <w:szCs w:val="28"/>
          <w14:textFill>
            <w14:solidFill>
              <w14:schemeClr w14:val="tx1"/>
            </w14:solidFill>
          </w14:textFill>
        </w:rPr>
        <w:t>（四）考核评价机制保障</w:t>
      </w:r>
      <w:bookmarkEnd w:id="26"/>
    </w:p>
    <w:p w14:paraId="334B0853">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建立校企合作考核评价体系，对订单班培养质量、师资交流效果、科研合作成果、社会服务成效等进行定期考核；根据考核结果及时调整优化合作方案，不断提升合作质量和水平，形成 “合作—考核—优化—提升” 的良性循环。</w:t>
      </w:r>
    </w:p>
    <w:p w14:paraId="608B1C7C">
      <w:pPr>
        <w:widowControl/>
        <w:spacing w:line="500" w:lineRule="exact"/>
        <w:ind w:firstLine="560" w:firstLineChars="200"/>
        <w:outlineLvl w:val="0"/>
        <w:rPr>
          <w:rFonts w:hint="eastAsia" w:ascii="黑体" w:hAnsi="黑体" w:eastAsia="黑体" w:cs="黑体"/>
          <w:color w:val="000000" w:themeColor="text1"/>
          <w:sz w:val="28"/>
          <w:szCs w:val="28"/>
          <w14:textFill>
            <w14:solidFill>
              <w14:schemeClr w14:val="tx1"/>
            </w14:solidFill>
          </w14:textFill>
        </w:rPr>
      </w:pPr>
      <w:bookmarkStart w:id="27" w:name="_Toc26571"/>
      <w:r>
        <w:rPr>
          <w:rFonts w:hint="eastAsia" w:ascii="黑体" w:hAnsi="黑体" w:eastAsia="黑体" w:cs="黑体"/>
          <w:color w:val="000000" w:themeColor="text1"/>
          <w:sz w:val="28"/>
          <w:szCs w:val="28"/>
          <w14:textFill>
            <w14:solidFill>
              <w14:schemeClr w14:val="tx1"/>
            </w14:solidFill>
          </w14:textFill>
        </w:rPr>
        <w:t>八、问题与展望</w:t>
      </w:r>
      <w:bookmarkEnd w:id="27"/>
      <w:r>
        <w:rPr>
          <w:rFonts w:hint="eastAsia" w:ascii="黑体" w:hAnsi="黑体" w:eastAsia="黑体" w:cs="黑体"/>
          <w:color w:val="000000" w:themeColor="text1"/>
          <w:sz w:val="28"/>
          <w:szCs w:val="28"/>
          <w14:textFill>
            <w14:solidFill>
              <w14:schemeClr w14:val="tx1"/>
            </w14:solidFill>
          </w14:textFill>
        </w:rPr>
        <w:t xml:space="preserve"> </w:t>
      </w:r>
    </w:p>
    <w:p w14:paraId="53D0B410">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8" w:name="_Toc31532"/>
      <w:r>
        <w:rPr>
          <w:rFonts w:hint="eastAsia" w:asciiTheme="majorEastAsia" w:hAnsiTheme="majorEastAsia" w:eastAsiaTheme="majorEastAsia" w:cstheme="majorEastAsia"/>
          <w:b/>
          <w:bCs/>
          <w:color w:val="000000" w:themeColor="text1"/>
          <w:sz w:val="28"/>
          <w:szCs w:val="28"/>
          <w14:textFill>
            <w14:solidFill>
              <w14:schemeClr w14:val="tx1"/>
            </w14:solidFill>
          </w14:textFill>
        </w:rPr>
        <w:t>（一）存在的问题</w:t>
      </w:r>
      <w:bookmarkEnd w:id="28"/>
    </w:p>
    <w:p w14:paraId="08989CB0">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1.校企合作的深度和广度有待进一步拓展，在技术攻关、成果转化等方面的合作仍需加强，部分合作项目的落地效果和可持续性有待提升。</w:t>
      </w:r>
    </w:p>
    <w:p w14:paraId="61BFBB5E">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2.国际化合作的覆盖面仍较有限，中外合作办学项目的招生规模、人才培养质量与国际先进水平相比仍有差距，国际资源的引进和利用效率需进一步提高。</w:t>
      </w:r>
    </w:p>
    <w:p w14:paraId="1383DE2B">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3.岗课赛证融通的融合度不够深入，职业技能认定与课程体系、岗位需求的衔接仍需优化，技能竞赛与教学实践的结合不够紧密。</w:t>
      </w:r>
    </w:p>
    <w:p w14:paraId="44EEC301">
      <w:pPr>
        <w:widowControl/>
        <w:spacing w:line="500" w:lineRule="exact"/>
        <w:ind w:firstLine="562" w:firstLineChars="200"/>
        <w:outlineLvl w:val="0"/>
        <w:rPr>
          <w:rFonts w:hint="eastAsia" w:asciiTheme="majorEastAsia" w:hAnsiTheme="majorEastAsia" w:eastAsiaTheme="majorEastAsia" w:cstheme="majorEastAsia"/>
          <w:b/>
          <w:bCs/>
          <w:color w:val="000000" w:themeColor="text1"/>
          <w:sz w:val="28"/>
          <w:szCs w:val="28"/>
          <w14:textFill>
            <w14:solidFill>
              <w14:schemeClr w14:val="tx1"/>
            </w14:solidFill>
          </w14:textFill>
        </w:rPr>
      </w:pPr>
      <w:bookmarkStart w:id="29" w:name="_Toc31878"/>
      <w:r>
        <w:rPr>
          <w:rFonts w:hint="eastAsia" w:asciiTheme="majorEastAsia" w:hAnsiTheme="majorEastAsia" w:eastAsiaTheme="majorEastAsia" w:cstheme="majorEastAsia"/>
          <w:b/>
          <w:bCs/>
          <w:color w:val="000000" w:themeColor="text1"/>
          <w:sz w:val="28"/>
          <w:szCs w:val="28"/>
          <w14:textFill>
            <w14:solidFill>
              <w14:schemeClr w14:val="tx1"/>
            </w14:solidFill>
          </w14:textFill>
        </w:rPr>
        <w:t>（二）未来展望</w:t>
      </w:r>
      <w:bookmarkEnd w:id="29"/>
    </w:p>
    <w:p w14:paraId="16BBDDB9">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1.加强政策引导。</w:t>
      </w:r>
    </w:p>
    <w:p w14:paraId="4035CC50">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积极争取国家、省、市各级政府及交通运输主管部门的政策支持，依托职业教育改革相关政策，进一步优化校企合作环境；主动对接行业政策导向，围绕地方交通行业发展规划，调整合作方向和重点，推动校企合作与行业发展、地方经济建设同频共振；加强与其他职业院校、企业的交流合作，学习先进经验，拓宽合作思路，提升合作的层次和水平。</w:t>
      </w:r>
    </w:p>
    <w:p w14:paraId="6AEBE530">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2.设立专项经费，加强资金管理</w:t>
      </w:r>
    </w:p>
    <w:p w14:paraId="76C45141">
      <w:pPr>
        <w:widowControl/>
        <w:spacing w:line="500" w:lineRule="exact"/>
        <w:ind w:firstLine="560" w:firstLineChars="200"/>
        <w:rPr>
          <w:rFonts w:hint="eastAsia" w:ascii="宋体" w:hAnsi="宋体" w:eastAsia="宋体" w:cs="宋体"/>
          <w:color w:val="000000" w:themeColor="text1"/>
          <w:spacing w:val="-6"/>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进一步加大资金投入力度，争取设立校企合作专项经费，扩大经费覆盖范围，支持科研攻关、成果转化、师资培训、学生创新创业等更多领域；建立健全专项经费管理制度，规范经费使用流程，加强经费使用的监督与考核，提高资金使用效率；探索多元化资金筹措机制，</w:t>
      </w:r>
      <w:r>
        <w:rPr>
          <w:rFonts w:hint="eastAsia" w:ascii="宋体" w:hAnsi="宋体" w:eastAsia="宋体" w:cs="宋体"/>
          <w:color w:val="000000" w:themeColor="text1"/>
          <w:spacing w:val="-6"/>
          <w:sz w:val="28"/>
          <w:szCs w:val="28"/>
          <w14:textFill>
            <w14:solidFill>
              <w14:schemeClr w14:val="tx1"/>
            </w14:solidFill>
          </w14:textFill>
        </w:rPr>
        <w:t>鼓励社会资本参与校企合作项目，形成多渠道、多层次的资金保障体系。</w:t>
      </w:r>
    </w:p>
    <w:p w14:paraId="646E1D54">
      <w:pPr>
        <w:widowControl/>
        <w:spacing w:line="500" w:lineRule="exact"/>
        <w:ind w:firstLine="536"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pacing w:val="-6"/>
          <w:sz w:val="28"/>
          <w:szCs w:val="28"/>
          <w14:textFill>
            <w14:solidFill>
              <w14:schemeClr w14:val="tx1"/>
            </w14:solidFill>
          </w14:textFill>
        </w:rPr>
        <w:t>3.</w:t>
      </w:r>
      <w:r>
        <w:rPr>
          <w:rFonts w:hint="eastAsia" w:ascii="宋体" w:hAnsi="宋体" w:eastAsia="宋体" w:cs="宋体"/>
          <w:color w:val="000000" w:themeColor="text1"/>
          <w:sz w:val="28"/>
          <w:szCs w:val="28"/>
          <w14:textFill>
            <w14:solidFill>
              <w14:schemeClr w14:val="tx1"/>
            </w14:solidFill>
          </w14:textFill>
        </w:rPr>
        <w:t>完善自身体制建设</w:t>
      </w:r>
    </w:p>
    <w:p w14:paraId="6F67FCF3">
      <w:pPr>
        <w:widowControl/>
        <w:spacing w:line="500" w:lineRule="exact"/>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优化校企合作管理体制，明确各部门、各环节的职责分工，加强协同配合，提升合作管理的规范化、科学化水平；深化人才培养模式改革，进一步完善岗课赛证融通机制，推动职业技能与专业人才培养方案深度融合，优化课程体系和教学内容；加强科研创新体制建设，健全技术攻关、成果转化机制，提升校企协同创新能力；扩大国际化合作规模，提升中外合作办学质量，引进更多国际优质教育资源，培养更多具有国际化视野的高素质技术技能人才，为地方交通行业参与国际合作与竞争提供人才支撑。</w:t>
      </w: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7467D7D0-7824-4B6D-A705-A21A63918EC4}"/>
  </w:font>
  <w:font w:name="宋体">
    <w:panose1 w:val="02010600030101010101"/>
    <w:charset w:val="86"/>
    <w:family w:val="auto"/>
    <w:pitch w:val="default"/>
    <w:sig w:usb0="00000203" w:usb1="288F0000" w:usb2="00000006" w:usb3="00000000" w:csb0="00040001" w:csb1="00000000"/>
    <w:embedRegular r:id="rId2" w:fontKey="{A341342A-1C9F-4799-9F51-B959B1BBC133}"/>
  </w:font>
  <w:font w:name="Wingdings">
    <w:panose1 w:val="05000000000000000000"/>
    <w:charset w:val="02"/>
    <w:family w:val="auto"/>
    <w:pitch w:val="default"/>
    <w:sig w:usb0="00000000" w:usb1="00000000" w:usb2="00000000" w:usb3="00000000" w:csb0="80000000" w:csb1="00000000"/>
    <w:embedRegular r:id="rId3" w:fontKey="{25EEB88F-84D6-492A-90D8-7E5F41C46089}"/>
  </w:font>
  <w:font w:name="Arial">
    <w:panose1 w:val="020B0604020202020204"/>
    <w:charset w:val="01"/>
    <w:family w:val="swiss"/>
    <w:pitch w:val="default"/>
    <w:sig w:usb0="E0002EFF" w:usb1="C000785B" w:usb2="00000009" w:usb3="00000000" w:csb0="400001FF" w:csb1="FFFF0000"/>
    <w:embedRegular r:id="rId4" w:fontKey="{6EDAEA11-76CF-4BD1-971A-4902A6D7FA3B}"/>
  </w:font>
  <w:font w:name="黑体">
    <w:panose1 w:val="02010609060101010101"/>
    <w:charset w:val="86"/>
    <w:family w:val="auto"/>
    <w:pitch w:val="default"/>
    <w:sig w:usb0="800002BF" w:usb1="38CF7CFA" w:usb2="00000016" w:usb3="00000000" w:csb0="00040001" w:csb1="00000000"/>
    <w:embedRegular r:id="rId5" w:fontKey="{F81EA592-CC3A-4C55-90F8-CF43D8E71D11}"/>
  </w:font>
  <w:font w:name="Courier New">
    <w:panose1 w:val="02070309020205020404"/>
    <w:charset w:val="01"/>
    <w:family w:val="modern"/>
    <w:pitch w:val="default"/>
    <w:sig w:usb0="E0002EFF" w:usb1="C0007843" w:usb2="00000009" w:usb3="00000000" w:csb0="400001FF" w:csb1="FFFF0000"/>
    <w:embedRegular r:id="rId6" w:fontKey="{94FAB06D-0AE8-403D-A6ED-13E3437A1833}"/>
  </w:font>
  <w:font w:name="Symbol">
    <w:panose1 w:val="05050102010706020507"/>
    <w:charset w:val="02"/>
    <w:family w:val="roman"/>
    <w:pitch w:val="default"/>
    <w:sig w:usb0="00000000" w:usb1="00000000" w:usb2="00000000" w:usb3="00000000" w:csb0="80000000" w:csb1="00000000"/>
    <w:embedRegular r:id="rId7" w:fontKey="{F2DB9473-6CD6-4428-8602-56714D398FFD}"/>
  </w:font>
  <w:font w:name="Calibri">
    <w:panose1 w:val="020F0502020204030204"/>
    <w:charset w:val="00"/>
    <w:family w:val="swiss"/>
    <w:pitch w:val="default"/>
    <w:sig w:usb0="E4002EFF" w:usb1="C200247B" w:usb2="00000009" w:usb3="00000000" w:csb0="200001FF" w:csb1="00000000"/>
    <w:embedRegular r:id="rId8" w:fontKey="{AC864085-7366-48C7-82E2-FACA38724B5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embedRegular r:id="rId9" w:fontKey="{0AD715FA-AF26-49CF-9D80-718E33355A01}"/>
  </w:font>
  <w:font w:name="仿宋">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embedRegular r:id="rId10" w:fontKey="{2A4899B7-64D1-43D0-91DB-EF721B29A7EA}"/>
  </w:font>
  <w:font w:name="TT4AC8C67DtCID-WinCharSetFFFF-H">
    <w:altName w:val="宋体"/>
    <w:panose1 w:val="00000000000000000000"/>
    <w:charset w:val="86"/>
    <w:family w:val="auto"/>
    <w:pitch w:val="default"/>
    <w:sig w:usb0="00000000" w:usb1="00000000" w:usb2="00000010" w:usb3="00000000" w:csb0="00040000" w:csb1="00000000"/>
    <w:embedRegular r:id="rId11" w:fontKey="{BEFE12FB-A916-4D71-AA83-5932038B76D3}"/>
  </w:font>
  <w:font w:name="方正仿宋_GB18030">
    <w:altName w:val="仿宋"/>
    <w:panose1 w:val="00000000000000000000"/>
    <w:charset w:val="86"/>
    <w:family w:val="auto"/>
    <w:pitch w:val="default"/>
    <w:sig w:usb0="00000000" w:usb1="00000000" w:usb2="00000000" w:usb3="00000000" w:csb0="00040000" w:csb1="00000000"/>
    <w:embedRegular r:id="rId12" w:fontKey="{76963D83-2F69-4989-AFF3-D1CEEE60C21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01072">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B58780">
    <w:pPr>
      <w:pStyle w:val="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9DEEC8">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3B9DEEC8">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017009"/>
    <w:multiLevelType w:val="singleLevel"/>
    <w:tmpl w:val="9B017009"/>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ECB6726"/>
    <w:rsid w:val="00111E3D"/>
    <w:rsid w:val="00237C0F"/>
    <w:rsid w:val="002C6E0B"/>
    <w:rsid w:val="00423E45"/>
    <w:rsid w:val="006C678F"/>
    <w:rsid w:val="006E4A4B"/>
    <w:rsid w:val="0073459C"/>
    <w:rsid w:val="007659D3"/>
    <w:rsid w:val="008B4950"/>
    <w:rsid w:val="00C2335C"/>
    <w:rsid w:val="00E450FC"/>
    <w:rsid w:val="00E84DC4"/>
    <w:rsid w:val="00EC0C95"/>
    <w:rsid w:val="00F07C92"/>
    <w:rsid w:val="00F2269C"/>
    <w:rsid w:val="28DB7053"/>
    <w:rsid w:val="2C2316DE"/>
    <w:rsid w:val="304313E0"/>
    <w:rsid w:val="33A855B9"/>
    <w:rsid w:val="37411FAD"/>
    <w:rsid w:val="3CF11D7F"/>
    <w:rsid w:val="4ECB6726"/>
    <w:rsid w:val="512233EE"/>
    <w:rsid w:val="52D04D29"/>
    <w:rsid w:val="53E53CB1"/>
    <w:rsid w:val="58FE1654"/>
    <w:rsid w:val="6B511AB7"/>
    <w:rsid w:val="6E6002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
    <w:name w:val="toc 1"/>
    <w:basedOn w:val="1"/>
    <w:next w:val="1"/>
    <w:qFormat/>
    <w:uiPriority w:val="0"/>
  </w:style>
  <w:style w:type="paragraph" w:styleId="5">
    <w:name w:val="toc 2"/>
    <w:basedOn w:val="1"/>
    <w:next w:val="1"/>
    <w:qFormat/>
    <w:uiPriority w:val="0"/>
    <w:pPr>
      <w:ind w:left="420" w:leftChars="200"/>
    </w:p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5397</Words>
  <Characters>5472</Characters>
  <Lines>173</Lines>
  <Paragraphs>139</Paragraphs>
  <TotalTime>0</TotalTime>
  <ScaleCrop>false</ScaleCrop>
  <LinksUpToDate>false</LinksUpToDate>
  <CharactersWithSpaces>5583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2025-12-11T01:36:00Z</dcterms:created>
  <dc:creator>噗咚</dc:creator>
  <cp:lastModifiedBy>WPS_415904261</cp:lastModifiedBy>
  <dcterms:modified xsi:type="dcterms:W3CDTF">2025-12-23T03:19:47Z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81532C30A4BE40C9976CF90B0F303278_11</vt:lpwstr>
  </property>
  <property fmtid="{D5CDD505-2E9C-101B-9397-08002B2CF9AE}" pid="4" name="KSOTemplateDocerSaveRecord">
    <vt:lpwstr>eyJoZGlkIjoiOGQwNzI5OWQyOWQ2M2FjNDAzY2ZlZmM4ODQzYWE0MmUiLCJ1c2VySWQiOiI0MTU5MDQyNjEifQ==</vt:lpwstr>
  </property>
</Properties>
</file>