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D62951">
      <w:pPr>
        <w:spacing w:after="0" w:line="440" w:lineRule="exact"/>
        <w:ind w:firstLine="602"/>
        <w:jc w:val="center"/>
        <w:rPr>
          <w:rFonts w:ascii="Times New Roman" w:hAnsi="Times New Roman" w:eastAsia="宋体" w:cs="Times New Roman"/>
          <w:b/>
          <w:sz w:val="30"/>
          <w:szCs w:val="30"/>
          <w14:ligatures w14:val="none"/>
        </w:rPr>
      </w:pPr>
    </w:p>
    <w:p w14:paraId="4EFBEF14">
      <w:pPr>
        <w:spacing w:after="0" w:line="440" w:lineRule="exact"/>
        <w:ind w:firstLine="602"/>
        <w:jc w:val="center"/>
        <w:rPr>
          <w:rFonts w:ascii="Times New Roman" w:hAnsi="Times New Roman" w:eastAsia="宋体" w:cs="Times New Roman"/>
          <w:b/>
          <w:sz w:val="30"/>
          <w:szCs w:val="30"/>
          <w14:ligatures w14:val="none"/>
        </w:rPr>
      </w:pPr>
    </w:p>
    <w:p w14:paraId="320FA643">
      <w:pPr>
        <w:spacing w:after="0" w:line="440" w:lineRule="exact"/>
        <w:ind w:firstLine="602"/>
        <w:jc w:val="center"/>
        <w:rPr>
          <w:rFonts w:ascii="Times New Roman" w:hAnsi="Times New Roman" w:eastAsia="宋体" w:cs="Times New Roman"/>
          <w:b/>
          <w:sz w:val="30"/>
          <w:szCs w:val="30"/>
          <w14:ligatures w14:val="none"/>
        </w:rPr>
      </w:pPr>
    </w:p>
    <w:p w14:paraId="1D6A2392">
      <w:pPr>
        <w:spacing w:after="0" w:line="440" w:lineRule="exact"/>
        <w:ind w:firstLine="602"/>
        <w:jc w:val="center"/>
        <w:rPr>
          <w:rFonts w:ascii="Times New Roman" w:hAnsi="Times New Roman" w:eastAsia="宋体" w:cs="Times New Roman"/>
          <w:b/>
          <w:sz w:val="30"/>
          <w:szCs w:val="30"/>
          <w14:ligatures w14:val="none"/>
        </w:rPr>
      </w:pPr>
    </w:p>
    <w:p w14:paraId="0BE3599B">
      <w:pPr>
        <w:spacing w:after="0" w:line="360" w:lineRule="auto"/>
        <w:jc w:val="center"/>
        <w:rPr>
          <w:rFonts w:ascii="仿宋_GB2312" w:hAnsi="华文中宋" w:eastAsia="仿宋_GB2312" w:cs="TT4AC8C67DtCID-WinCharSetFFFF-H"/>
          <w:color w:val="000000"/>
          <w:kern w:val="0"/>
          <w:sz w:val="42"/>
          <w:szCs w:val="42"/>
          <w14:ligatures w14:val="none"/>
        </w:rPr>
      </w:pPr>
      <w:r>
        <w:rPr>
          <w:rFonts w:ascii="仿宋_GB2312" w:hAnsi="华文中宋" w:eastAsia="仿宋_GB2312" w:cs="TT4AC8C67DtCID-WinCharSetFFFF-H"/>
          <w:color w:val="000000"/>
          <w:kern w:val="0"/>
          <w:sz w:val="42"/>
          <w:szCs w:val="42"/>
          <w14:ligatures w14:val="none"/>
        </w:rPr>
        <w:t>常州比亚迪汽车有限公司</w:t>
      </w:r>
    </w:p>
    <w:p w14:paraId="2BF14050">
      <w:pPr>
        <w:spacing w:after="0" w:line="800" w:lineRule="exact"/>
        <w:jc w:val="both"/>
        <w:rPr>
          <w:rFonts w:ascii="仿宋_GB2312" w:hAnsi="华文中宋" w:eastAsia="仿宋_GB2312" w:cs="TT4AC8C67DtCID-WinCharSetFFFF-H"/>
          <w:color w:val="000000"/>
          <w:kern w:val="0"/>
          <w:sz w:val="42"/>
          <w:szCs w:val="42"/>
          <w14:ligatures w14:val="none"/>
        </w:rPr>
      </w:pPr>
      <w:r>
        <w:rPr>
          <w:rFonts w:hint="eastAsia" w:ascii="仿宋_GB2312" w:hAnsi="华文中宋" w:eastAsia="仿宋_GB2312" w:cs="TT4AC8C67DtCID-WinCharSetFFFF-H"/>
          <w:color w:val="000000"/>
          <w:kern w:val="0"/>
          <w:sz w:val="42"/>
          <w:szCs w:val="42"/>
          <w14:ligatures w14:val="none"/>
        </w:rPr>
        <w:t>参与五年制高等职业教育人才培养年度报告</w:t>
      </w:r>
    </w:p>
    <w:p w14:paraId="613D0EF5">
      <w:pPr>
        <w:spacing w:after="0" w:line="800" w:lineRule="exact"/>
        <w:jc w:val="center"/>
        <w:rPr>
          <w:rFonts w:ascii="仿宋_GB2312" w:hAnsi="华文中宋" w:eastAsia="仿宋_GB2312" w:cs="TT4AC8C67DtCID-WinCharSetFFFF-H"/>
          <w:color w:val="000000"/>
          <w:kern w:val="0"/>
          <w:sz w:val="42"/>
          <w:szCs w:val="42"/>
          <w14:ligatures w14:val="none"/>
        </w:rPr>
      </w:pPr>
      <w:r>
        <w:rPr>
          <w:rFonts w:hint="eastAsia" w:ascii="仿宋_GB2312" w:hAnsi="华文中宋" w:eastAsia="仿宋_GB2312" w:cs="TT4AC8C67DtCID-WinCharSetFFFF-H"/>
          <w:color w:val="000000"/>
          <w:kern w:val="0"/>
          <w:sz w:val="42"/>
          <w:szCs w:val="42"/>
          <w14:ligatures w14:val="none"/>
        </w:rPr>
        <w:t>（2025）</w:t>
      </w:r>
    </w:p>
    <w:p w14:paraId="7E73BB4B">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38E53AD6">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4D0EF0B1">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5134A50B">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6BAC82AA">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12A794E1">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4207300A">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28CAC13B">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5FD091E7">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5F7A3CA8">
      <w:pPr>
        <w:spacing w:after="0" w:line="540" w:lineRule="exact"/>
        <w:ind w:left="210" w:firstLine="840"/>
        <w:jc w:val="center"/>
        <w:rPr>
          <w:rFonts w:ascii="仿宋_GB2312" w:hAnsi="华文中宋" w:eastAsia="仿宋_GB2312" w:cs="TT4AC8C67DtCID-WinCharSetFFFF-H"/>
          <w:color w:val="000000"/>
          <w:kern w:val="0"/>
          <w:sz w:val="42"/>
          <w:szCs w:val="42"/>
          <w14:ligatures w14:val="none"/>
        </w:rPr>
      </w:pPr>
    </w:p>
    <w:p w14:paraId="6F75EEE4">
      <w:pPr>
        <w:keepNext w:val="0"/>
        <w:keepLines w:val="0"/>
        <w:pageBreakBefore w:val="0"/>
        <w:widowControl w:val="0"/>
        <w:kinsoku/>
        <w:wordWrap/>
        <w:overflowPunct/>
        <w:topLinePunct w:val="0"/>
        <w:autoSpaceDE/>
        <w:autoSpaceDN/>
        <w:bidi w:val="0"/>
        <w:adjustRightInd/>
        <w:snapToGrid/>
        <w:spacing w:after="0" w:line="360" w:lineRule="auto"/>
        <w:ind w:left="210" w:firstLine="839"/>
        <w:jc w:val="center"/>
        <w:textAlignment w:val="auto"/>
        <w:rPr>
          <w:rFonts w:ascii="仿宋_GB2312" w:hAnsi="华文中宋" w:eastAsia="仿宋_GB2312" w:cs="TT4AC8C67DtCID-WinCharSetFFFF-H"/>
          <w:color w:val="000000"/>
          <w:kern w:val="0"/>
          <w:sz w:val="42"/>
          <w:szCs w:val="42"/>
          <w14:ligatures w14:val="none"/>
        </w:rPr>
      </w:pPr>
    </w:p>
    <w:p w14:paraId="1A5A9651">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ascii="仿宋_GB2312" w:hAnsi="华文中宋" w:eastAsia="仿宋_GB2312" w:cs="TT4AC8C67DtCID-WinCharSetFFFF-H"/>
          <w:color w:val="000000"/>
          <w:kern w:val="0"/>
          <w:sz w:val="42"/>
          <w:szCs w:val="42"/>
          <w14:ligatures w14:val="none"/>
        </w:rPr>
      </w:pPr>
      <w:r>
        <w:rPr>
          <w:rFonts w:hint="eastAsia" w:ascii="仿宋_GB2312" w:hAnsi="华文中宋" w:eastAsia="仿宋_GB2312" w:cs="TT4AC8C67DtCID-WinCharSetFFFF-H"/>
          <w:color w:val="000000"/>
          <w:kern w:val="0"/>
          <w:sz w:val="42"/>
          <w:szCs w:val="42"/>
          <w14:ligatures w14:val="none"/>
        </w:rPr>
        <w:t>无锡交通分院</w:t>
      </w:r>
    </w:p>
    <w:p w14:paraId="20457413">
      <w:pPr>
        <w:keepNext w:val="0"/>
        <w:keepLines w:val="0"/>
        <w:pageBreakBefore w:val="0"/>
        <w:widowControl w:val="0"/>
        <w:kinsoku/>
        <w:wordWrap/>
        <w:overflowPunct/>
        <w:topLinePunct w:val="0"/>
        <w:autoSpaceDE/>
        <w:autoSpaceDN/>
        <w:bidi w:val="0"/>
        <w:adjustRightInd/>
        <w:snapToGrid/>
        <w:spacing w:after="0" w:line="360" w:lineRule="auto"/>
        <w:jc w:val="center"/>
        <w:textAlignment w:val="auto"/>
        <w:rPr>
          <w:rFonts w:ascii="仿宋_GB2312" w:hAnsi="华文中宋" w:eastAsia="仿宋_GB2312" w:cs="TT4AC8C67DtCID-WinCharSetFFFF-H"/>
          <w:color w:val="000000"/>
          <w:kern w:val="0"/>
          <w:sz w:val="42"/>
          <w:szCs w:val="42"/>
          <w14:ligatures w14:val="none"/>
        </w:rPr>
      </w:pPr>
      <w:r>
        <w:rPr>
          <w:rFonts w:hint="eastAsia" w:ascii="仿宋_GB2312" w:hAnsi="华文中宋" w:eastAsia="仿宋_GB2312" w:cs="TT4AC8C67DtCID-WinCharSetFFFF-H"/>
          <w:color w:val="000000"/>
          <w:kern w:val="0"/>
          <w:sz w:val="42"/>
          <w:szCs w:val="42"/>
          <w14:ligatures w14:val="none"/>
        </w:rPr>
        <w:t>2025年12月6日</w:t>
      </w:r>
    </w:p>
    <w:p w14:paraId="2382BDCB">
      <w:pPr>
        <w:spacing w:after="0" w:line="440" w:lineRule="exact"/>
        <w:ind w:firstLine="840"/>
        <w:jc w:val="both"/>
        <w:rPr>
          <w:rFonts w:ascii="仿宋_GB2312" w:hAnsi="华文中宋" w:eastAsia="仿宋_GB2312" w:cs="TT4AC8C67DtCID-WinCharSetFFFF-H"/>
          <w:color w:val="000000"/>
          <w:kern w:val="0"/>
          <w:sz w:val="42"/>
          <w:szCs w:val="42"/>
          <w14:ligatures w14:val="none"/>
        </w:rPr>
      </w:pPr>
      <w:r>
        <w:rPr>
          <w:rFonts w:ascii="仿宋_GB2312" w:hAnsi="华文中宋" w:eastAsia="仿宋_GB2312" w:cs="TT4AC8C67DtCID-WinCharSetFFFF-H"/>
          <w:color w:val="000000"/>
          <w:kern w:val="0"/>
          <w:sz w:val="42"/>
          <w:szCs w:val="42"/>
          <w14:ligatures w14:val="none"/>
        </w:rPr>
        <w:br w:type="page"/>
      </w:r>
    </w:p>
    <w:sdt>
      <w:sdtPr>
        <w:rPr>
          <w:lang w:val="zh-CN"/>
        </w:rPr>
        <w:id w:val="1576004350"/>
        <w:docPartObj>
          <w:docPartGallery w:val="Table of Contents"/>
          <w:docPartUnique/>
        </w:docPartObj>
      </w:sdtPr>
      <w:sdtEndPr>
        <w:rPr>
          <w:rFonts w:asciiTheme="minorHAnsi" w:hAnsiTheme="minorHAnsi" w:eastAsiaTheme="minorEastAsia" w:cstheme="minorBidi"/>
          <w:b/>
          <w:bCs/>
          <w:color w:val="auto"/>
          <w:kern w:val="2"/>
          <w:sz w:val="22"/>
          <w:szCs w:val="24"/>
          <w:lang w:val="zh-CN"/>
          <w14:ligatures w14:val="standardContextual"/>
        </w:rPr>
      </w:sdtEndPr>
      <w:sdtContent>
        <w:p w14:paraId="1E802425">
          <w:pPr>
            <w:pStyle w:val="48"/>
            <w:jc w:val="center"/>
            <w:rPr>
              <w:rFonts w:hint="eastAsia" w:ascii="仿宋_GB2312" w:hAnsi="华文中宋" w:eastAsia="仿宋_GB2312" w:cs="TT4AC8C67DtCID-WinCharSetFFFF-H"/>
              <w:color w:val="000000"/>
              <w:sz w:val="44"/>
              <w:szCs w:val="44"/>
            </w:rPr>
          </w:pPr>
          <w:bookmarkStart w:id="0" w:name="_Toc14271"/>
          <w:r>
            <w:rPr>
              <w:rFonts w:ascii="仿宋_GB2312" w:hAnsi="华文中宋" w:eastAsia="仿宋_GB2312" w:cs="TT4AC8C67DtCID-WinCharSetFFFF-H"/>
              <w:color w:val="000000"/>
              <w:sz w:val="44"/>
              <w:szCs w:val="44"/>
            </w:rPr>
            <w:t>目录</w:t>
          </w:r>
        </w:p>
        <w:p w14:paraId="6A349C1C">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sz w:val="36"/>
              <w:szCs w:val="32"/>
            </w:rPr>
            <w:fldChar w:fldCharType="begin"/>
          </w:r>
          <w:r>
            <w:rPr>
              <w:rFonts w:hint="eastAsia" w:ascii="宋体" w:hAnsi="宋体" w:eastAsia="宋体" w:cs="宋体"/>
              <w:sz w:val="36"/>
              <w:szCs w:val="32"/>
            </w:rPr>
            <w:instrText xml:space="preserve"> TOC \o "1-3" \h \z \u </w:instrText>
          </w:r>
          <w:r>
            <w:rPr>
              <w:rFonts w:hint="eastAsia" w:ascii="宋体" w:hAnsi="宋体" w:eastAsia="宋体" w:cs="宋体"/>
              <w:sz w:val="36"/>
              <w:szCs w:val="32"/>
            </w:rPr>
            <w:fldChar w:fldCharType="separate"/>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HYPERLINK \l _Toc5100 </w:instrText>
          </w:r>
          <w:r>
            <w:rPr>
              <w:rFonts w:hint="eastAsia" w:ascii="宋体" w:hAnsi="宋体" w:eastAsia="宋体" w:cs="宋体"/>
              <w:sz w:val="28"/>
              <w:szCs w:val="32"/>
            </w:rPr>
            <w:fldChar w:fldCharType="separate"/>
          </w:r>
          <w:r>
            <w:rPr>
              <w:rFonts w:hint="eastAsia" w:ascii="宋体" w:hAnsi="宋体" w:eastAsia="宋体" w:cs="宋体"/>
              <w:sz w:val="28"/>
              <w:szCs w:val="32"/>
            </w:rPr>
            <w:t>一、概况</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_Toc5100 \h </w:instrText>
          </w:r>
          <w:r>
            <w:rPr>
              <w:rFonts w:hint="eastAsia" w:ascii="宋体" w:hAnsi="宋体" w:eastAsia="宋体" w:cs="宋体"/>
              <w:sz w:val="28"/>
              <w:szCs w:val="32"/>
            </w:rPr>
            <w:fldChar w:fldCharType="separate"/>
          </w:r>
          <w:r>
            <w:rPr>
              <w:rFonts w:hint="eastAsia" w:ascii="宋体" w:hAnsi="宋体" w:eastAsia="宋体" w:cs="宋体"/>
              <w:sz w:val="28"/>
              <w:szCs w:val="32"/>
            </w:rPr>
            <w:t>1</w:t>
          </w:r>
          <w:r>
            <w:rPr>
              <w:rFonts w:hint="eastAsia" w:ascii="宋体" w:hAnsi="宋体" w:eastAsia="宋体" w:cs="宋体"/>
              <w:sz w:val="28"/>
              <w:szCs w:val="32"/>
            </w:rPr>
            <w:fldChar w:fldCharType="end"/>
          </w:r>
          <w:r>
            <w:rPr>
              <w:rFonts w:hint="eastAsia" w:ascii="宋体" w:hAnsi="宋体" w:eastAsia="宋体" w:cs="宋体"/>
              <w:sz w:val="28"/>
              <w:szCs w:val="32"/>
            </w:rPr>
            <w:fldChar w:fldCharType="end"/>
          </w:r>
        </w:p>
        <w:p w14:paraId="04EBBAE6">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_Toc3848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二、</w:t>
          </w:r>
          <w:r>
            <w:rPr>
              <w:rFonts w:hint="eastAsia" w:ascii="宋体" w:hAnsi="宋体" w:eastAsia="宋体" w:cs="宋体"/>
              <w:sz w:val="28"/>
              <w:szCs w:val="32"/>
              <w:lang w:val="zh-CN"/>
            </w:rPr>
            <w:t>参与办学</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_Toc3848 \h </w:instrText>
          </w:r>
          <w:r>
            <w:rPr>
              <w:rFonts w:hint="eastAsia" w:ascii="宋体" w:hAnsi="宋体" w:eastAsia="宋体" w:cs="宋体"/>
              <w:sz w:val="28"/>
              <w:szCs w:val="32"/>
            </w:rPr>
            <w:fldChar w:fldCharType="separate"/>
          </w:r>
          <w:r>
            <w:rPr>
              <w:rFonts w:hint="eastAsia" w:ascii="宋体" w:hAnsi="宋体" w:eastAsia="宋体" w:cs="宋体"/>
              <w:sz w:val="28"/>
              <w:szCs w:val="32"/>
            </w:rPr>
            <w:t>2</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1325F9CA">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_Toc20000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三、资源投入</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_Toc20000 \h </w:instrText>
          </w:r>
          <w:r>
            <w:rPr>
              <w:rFonts w:hint="eastAsia" w:ascii="宋体" w:hAnsi="宋体" w:eastAsia="宋体" w:cs="宋体"/>
              <w:sz w:val="28"/>
              <w:szCs w:val="32"/>
            </w:rPr>
            <w:fldChar w:fldCharType="separate"/>
          </w:r>
          <w:r>
            <w:rPr>
              <w:rFonts w:hint="eastAsia" w:ascii="宋体" w:hAnsi="宋体" w:eastAsia="宋体" w:cs="宋体"/>
              <w:sz w:val="28"/>
              <w:szCs w:val="32"/>
            </w:rPr>
            <w:t>6</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395EFE0B">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_Toc14208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四</w:t>
          </w:r>
          <w:r>
            <w:rPr>
              <w:rFonts w:hint="eastAsia" w:ascii="宋体" w:hAnsi="宋体" w:eastAsia="宋体" w:cs="宋体"/>
              <w:sz w:val="28"/>
              <w:szCs w:val="32"/>
              <w:lang w:val="zh-CN"/>
            </w:rPr>
            <w:t>、</w:t>
          </w:r>
          <w:r>
            <w:rPr>
              <w:rFonts w:hint="eastAsia" w:ascii="宋体" w:hAnsi="宋体" w:eastAsia="宋体" w:cs="宋体"/>
              <w:sz w:val="28"/>
              <w:szCs w:val="32"/>
            </w:rPr>
            <w:t>参与教学</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_Toc14208 \h </w:instrText>
          </w:r>
          <w:r>
            <w:rPr>
              <w:rFonts w:hint="eastAsia" w:ascii="宋体" w:hAnsi="宋体" w:eastAsia="宋体" w:cs="宋体"/>
              <w:sz w:val="28"/>
              <w:szCs w:val="32"/>
            </w:rPr>
            <w:fldChar w:fldCharType="separate"/>
          </w:r>
          <w:r>
            <w:rPr>
              <w:rFonts w:hint="eastAsia" w:ascii="宋体" w:hAnsi="宋体" w:eastAsia="宋体" w:cs="宋体"/>
              <w:sz w:val="28"/>
              <w:szCs w:val="32"/>
            </w:rPr>
            <w:t>6</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08511756">
          <w:pPr>
            <w:pStyle w:val="16"/>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_Toc8087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（一）专业建设</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_Toc8087 \h </w:instrText>
          </w:r>
          <w:r>
            <w:rPr>
              <w:rFonts w:hint="eastAsia" w:ascii="宋体" w:hAnsi="宋体" w:eastAsia="宋体" w:cs="宋体"/>
              <w:sz w:val="28"/>
              <w:szCs w:val="32"/>
            </w:rPr>
            <w:fldChar w:fldCharType="separate"/>
          </w:r>
          <w:r>
            <w:rPr>
              <w:rFonts w:hint="eastAsia" w:ascii="宋体" w:hAnsi="宋体" w:eastAsia="宋体" w:cs="宋体"/>
              <w:sz w:val="28"/>
              <w:szCs w:val="32"/>
            </w:rPr>
            <w:t>6</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5CED25A3">
          <w:pPr>
            <w:pStyle w:val="16"/>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_Toc29213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lang w:val="zh-CN"/>
            </w:rPr>
            <w:t>（</w:t>
          </w:r>
          <w:r>
            <w:rPr>
              <w:rFonts w:hint="eastAsia" w:ascii="宋体" w:hAnsi="宋体" w:eastAsia="宋体" w:cs="宋体"/>
              <w:sz w:val="28"/>
              <w:szCs w:val="32"/>
            </w:rPr>
            <w:t>二</w:t>
          </w:r>
          <w:r>
            <w:rPr>
              <w:rFonts w:hint="eastAsia" w:ascii="宋体" w:hAnsi="宋体" w:eastAsia="宋体" w:cs="宋体"/>
              <w:sz w:val="28"/>
              <w:szCs w:val="32"/>
              <w:lang w:val="zh-CN"/>
            </w:rPr>
            <w:t>）学生培养</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_Toc29213 \h </w:instrText>
          </w:r>
          <w:r>
            <w:rPr>
              <w:rFonts w:hint="eastAsia" w:ascii="宋体" w:hAnsi="宋体" w:eastAsia="宋体" w:cs="宋体"/>
              <w:sz w:val="28"/>
              <w:szCs w:val="32"/>
            </w:rPr>
            <w:fldChar w:fldCharType="separate"/>
          </w:r>
          <w:r>
            <w:rPr>
              <w:rFonts w:hint="eastAsia" w:ascii="宋体" w:hAnsi="宋体" w:eastAsia="宋体" w:cs="宋体"/>
              <w:sz w:val="28"/>
              <w:szCs w:val="32"/>
            </w:rPr>
            <w:t>8</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3157224F">
          <w:pPr>
            <w:pStyle w:val="16"/>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_Toc13276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lang w:val="zh-CN"/>
            </w:rPr>
            <w:t>（</w:t>
          </w:r>
          <w:r>
            <w:rPr>
              <w:rFonts w:hint="eastAsia" w:ascii="宋体" w:hAnsi="宋体" w:eastAsia="宋体" w:cs="宋体"/>
              <w:sz w:val="28"/>
              <w:szCs w:val="32"/>
            </w:rPr>
            <w:t>三</w:t>
          </w:r>
          <w:r>
            <w:rPr>
              <w:rFonts w:hint="eastAsia" w:ascii="宋体" w:hAnsi="宋体" w:eastAsia="宋体" w:cs="宋体"/>
              <w:sz w:val="28"/>
              <w:szCs w:val="32"/>
              <w:lang w:val="zh-CN"/>
            </w:rPr>
            <w:t>）师资队伍</w:t>
          </w:r>
          <w:r>
            <w:rPr>
              <w:rFonts w:hint="eastAsia" w:ascii="宋体" w:hAnsi="宋体" w:eastAsia="宋体" w:cs="宋体"/>
              <w:sz w:val="28"/>
              <w:szCs w:val="32"/>
            </w:rPr>
            <w:t>建设</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_Toc13276 \h </w:instrText>
          </w:r>
          <w:r>
            <w:rPr>
              <w:rFonts w:hint="eastAsia" w:ascii="宋体" w:hAnsi="宋体" w:eastAsia="宋体" w:cs="宋体"/>
              <w:sz w:val="28"/>
              <w:szCs w:val="32"/>
            </w:rPr>
            <w:fldChar w:fldCharType="separate"/>
          </w:r>
          <w:r>
            <w:rPr>
              <w:rFonts w:hint="eastAsia" w:ascii="宋体" w:hAnsi="宋体" w:eastAsia="宋体" w:cs="宋体"/>
              <w:sz w:val="28"/>
              <w:szCs w:val="32"/>
            </w:rPr>
            <w:t>9</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4F853126">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_Toc30111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五、助推企业发展</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_Toc30111 \h </w:instrText>
          </w:r>
          <w:r>
            <w:rPr>
              <w:rFonts w:hint="eastAsia" w:ascii="宋体" w:hAnsi="宋体" w:eastAsia="宋体" w:cs="宋体"/>
              <w:sz w:val="28"/>
              <w:szCs w:val="32"/>
            </w:rPr>
            <w:fldChar w:fldCharType="separate"/>
          </w:r>
          <w:r>
            <w:rPr>
              <w:rFonts w:hint="eastAsia" w:ascii="宋体" w:hAnsi="宋体" w:eastAsia="宋体" w:cs="宋体"/>
              <w:sz w:val="28"/>
              <w:szCs w:val="32"/>
            </w:rPr>
            <w:t>10</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65774993">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_Toc17028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六、服务地方</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_Toc17028 \h </w:instrText>
          </w:r>
          <w:r>
            <w:rPr>
              <w:rFonts w:hint="eastAsia" w:ascii="宋体" w:hAnsi="宋体" w:eastAsia="宋体" w:cs="宋体"/>
              <w:sz w:val="28"/>
              <w:szCs w:val="32"/>
            </w:rPr>
            <w:fldChar w:fldCharType="separate"/>
          </w:r>
          <w:r>
            <w:rPr>
              <w:rFonts w:hint="eastAsia" w:ascii="宋体" w:hAnsi="宋体" w:eastAsia="宋体" w:cs="宋体"/>
              <w:sz w:val="28"/>
              <w:szCs w:val="32"/>
            </w:rPr>
            <w:t>11</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2E108AD0">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_Toc28598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七</w:t>
          </w:r>
          <w:r>
            <w:rPr>
              <w:rFonts w:hint="eastAsia" w:ascii="宋体" w:hAnsi="宋体" w:eastAsia="宋体" w:cs="宋体"/>
              <w:sz w:val="28"/>
              <w:szCs w:val="32"/>
              <w:lang w:val="zh-CN"/>
            </w:rPr>
            <w:t>、保障体系</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_Toc28598 \h </w:instrText>
          </w:r>
          <w:r>
            <w:rPr>
              <w:rFonts w:hint="eastAsia" w:ascii="宋体" w:hAnsi="宋体" w:eastAsia="宋体" w:cs="宋体"/>
              <w:sz w:val="28"/>
              <w:szCs w:val="32"/>
            </w:rPr>
            <w:fldChar w:fldCharType="separate"/>
          </w:r>
          <w:r>
            <w:rPr>
              <w:rFonts w:hint="eastAsia" w:ascii="宋体" w:hAnsi="宋体" w:eastAsia="宋体" w:cs="宋体"/>
              <w:sz w:val="28"/>
              <w:szCs w:val="32"/>
            </w:rPr>
            <w:t>12</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70CCDD72">
          <w:pPr>
            <w:pStyle w:val="14"/>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_Toc3375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八、问题与展望</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_Toc3375 \h </w:instrText>
          </w:r>
          <w:r>
            <w:rPr>
              <w:rFonts w:hint="eastAsia" w:ascii="宋体" w:hAnsi="宋体" w:eastAsia="宋体" w:cs="宋体"/>
              <w:sz w:val="28"/>
              <w:szCs w:val="32"/>
            </w:rPr>
            <w:fldChar w:fldCharType="separate"/>
          </w:r>
          <w:r>
            <w:rPr>
              <w:rFonts w:hint="eastAsia" w:ascii="宋体" w:hAnsi="宋体" w:eastAsia="宋体" w:cs="宋体"/>
              <w:sz w:val="28"/>
              <w:szCs w:val="32"/>
            </w:rPr>
            <w:t>13</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60053147">
          <w:pPr>
            <w:pStyle w:val="16"/>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_Toc25481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lang w:val="zh-CN"/>
            </w:rPr>
            <w:t>（</w:t>
          </w:r>
          <w:r>
            <w:rPr>
              <w:rFonts w:hint="eastAsia" w:ascii="宋体" w:hAnsi="宋体" w:eastAsia="宋体" w:cs="宋体"/>
              <w:sz w:val="28"/>
              <w:szCs w:val="32"/>
            </w:rPr>
            <w:t>一）</w:t>
          </w:r>
          <w:r>
            <w:rPr>
              <w:rFonts w:hint="eastAsia" w:ascii="宋体" w:hAnsi="宋体" w:eastAsia="宋体" w:cs="宋体"/>
              <w:sz w:val="28"/>
              <w:szCs w:val="32"/>
              <w:lang w:val="zh-CN"/>
            </w:rPr>
            <w:t>加强政策引导</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_Toc25481 \h </w:instrText>
          </w:r>
          <w:r>
            <w:rPr>
              <w:rFonts w:hint="eastAsia" w:ascii="宋体" w:hAnsi="宋体" w:eastAsia="宋体" w:cs="宋体"/>
              <w:sz w:val="28"/>
              <w:szCs w:val="32"/>
            </w:rPr>
            <w:fldChar w:fldCharType="separate"/>
          </w:r>
          <w:r>
            <w:rPr>
              <w:rFonts w:hint="eastAsia" w:ascii="宋体" w:hAnsi="宋体" w:eastAsia="宋体" w:cs="宋体"/>
              <w:sz w:val="28"/>
              <w:szCs w:val="32"/>
            </w:rPr>
            <w:t>13</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6A8D3C3E">
          <w:pPr>
            <w:pStyle w:val="16"/>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_Toc14942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（二）设立专项经费，加强资金管理</w:t>
          </w:r>
          <w:r>
            <w:rPr>
              <w:rFonts w:hint="eastAsia" w:ascii="宋体" w:hAnsi="宋体" w:eastAsia="宋体" w:cs="宋体"/>
              <w:sz w:val="28"/>
              <w:szCs w:val="32"/>
            </w:rPr>
            <w:tab/>
          </w:r>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_Toc14942 \h </w:instrText>
          </w:r>
          <w:r>
            <w:rPr>
              <w:rFonts w:hint="eastAsia" w:ascii="宋体" w:hAnsi="宋体" w:eastAsia="宋体" w:cs="宋体"/>
              <w:sz w:val="28"/>
              <w:szCs w:val="32"/>
            </w:rPr>
            <w:fldChar w:fldCharType="separate"/>
          </w:r>
          <w:r>
            <w:rPr>
              <w:rFonts w:hint="eastAsia" w:ascii="宋体" w:hAnsi="宋体" w:eastAsia="宋体" w:cs="宋体"/>
              <w:sz w:val="28"/>
              <w:szCs w:val="32"/>
            </w:rPr>
            <w:t>14</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49D58898">
          <w:pPr>
            <w:pStyle w:val="16"/>
            <w:keepNext w:val="0"/>
            <w:keepLines w:val="0"/>
            <w:pageBreakBefore w:val="0"/>
            <w:widowControl w:val="0"/>
            <w:tabs>
              <w:tab w:val="right" w:leader="dot" w:pos="8306"/>
            </w:tabs>
            <w:kinsoku/>
            <w:wordWrap/>
            <w:overflowPunct/>
            <w:topLinePunct w:val="0"/>
            <w:autoSpaceDE/>
            <w:autoSpaceDN/>
            <w:bidi w:val="0"/>
            <w:adjustRightInd/>
            <w:snapToGrid/>
            <w:spacing w:after="0" w:line="360" w:lineRule="auto"/>
            <w:textAlignment w:val="auto"/>
            <w:rPr>
              <w:rFonts w:hint="eastAsia" w:ascii="宋体" w:hAnsi="宋体" w:eastAsia="宋体" w:cs="宋体"/>
              <w:sz w:val="28"/>
              <w:szCs w:val="32"/>
            </w:rPr>
          </w:pPr>
          <w:r>
            <w:rPr>
              <w:rFonts w:hint="eastAsia" w:ascii="宋体" w:hAnsi="宋体" w:eastAsia="宋体" w:cs="宋体"/>
              <w:bCs/>
              <w:sz w:val="28"/>
              <w:szCs w:val="32"/>
              <w:lang w:val="zh-CN"/>
            </w:rPr>
            <w:fldChar w:fldCharType="begin"/>
          </w:r>
          <w:r>
            <w:rPr>
              <w:rFonts w:hint="eastAsia" w:ascii="宋体" w:hAnsi="宋体" w:eastAsia="宋体" w:cs="宋体"/>
              <w:bCs/>
              <w:sz w:val="28"/>
              <w:szCs w:val="32"/>
              <w:lang w:val="zh-CN"/>
            </w:rPr>
            <w:instrText xml:space="preserve"> HYPERLINK \l _Toc13730 </w:instrText>
          </w:r>
          <w:r>
            <w:rPr>
              <w:rFonts w:hint="eastAsia" w:ascii="宋体" w:hAnsi="宋体" w:eastAsia="宋体" w:cs="宋体"/>
              <w:bCs/>
              <w:sz w:val="28"/>
              <w:szCs w:val="32"/>
              <w:lang w:val="zh-CN"/>
            </w:rPr>
            <w:fldChar w:fldCharType="separate"/>
          </w:r>
          <w:r>
            <w:rPr>
              <w:rFonts w:hint="eastAsia" w:ascii="宋体" w:hAnsi="宋体" w:eastAsia="宋体" w:cs="宋体"/>
              <w:sz w:val="28"/>
              <w:szCs w:val="32"/>
            </w:rPr>
            <w:t>（三）完善自身体制建设</w:t>
          </w:r>
          <w:r>
            <w:rPr>
              <w:rFonts w:hint="eastAsia" w:ascii="宋体" w:hAnsi="宋体" w:eastAsia="宋体" w:cs="宋体"/>
              <w:sz w:val="28"/>
              <w:szCs w:val="32"/>
            </w:rPr>
            <w:tab/>
          </w:r>
          <w:bookmarkStart w:id="27" w:name="_GoBack"/>
          <w:bookmarkEnd w:id="27"/>
          <w:r>
            <w:rPr>
              <w:rFonts w:hint="eastAsia" w:ascii="宋体" w:hAnsi="宋体" w:eastAsia="宋体" w:cs="宋体"/>
              <w:sz w:val="28"/>
              <w:szCs w:val="32"/>
            </w:rPr>
            <w:fldChar w:fldCharType="begin"/>
          </w:r>
          <w:r>
            <w:rPr>
              <w:rFonts w:hint="eastAsia" w:ascii="宋体" w:hAnsi="宋体" w:eastAsia="宋体" w:cs="宋体"/>
              <w:sz w:val="28"/>
              <w:szCs w:val="32"/>
            </w:rPr>
            <w:instrText xml:space="preserve"> PAGEREF _Toc13730 \h </w:instrText>
          </w:r>
          <w:r>
            <w:rPr>
              <w:rFonts w:hint="eastAsia" w:ascii="宋体" w:hAnsi="宋体" w:eastAsia="宋体" w:cs="宋体"/>
              <w:sz w:val="28"/>
              <w:szCs w:val="32"/>
            </w:rPr>
            <w:fldChar w:fldCharType="separate"/>
          </w:r>
          <w:r>
            <w:rPr>
              <w:rFonts w:hint="eastAsia" w:ascii="宋体" w:hAnsi="宋体" w:eastAsia="宋体" w:cs="宋体"/>
              <w:sz w:val="28"/>
              <w:szCs w:val="32"/>
            </w:rPr>
            <w:t>15</w:t>
          </w:r>
          <w:r>
            <w:rPr>
              <w:rFonts w:hint="eastAsia" w:ascii="宋体" w:hAnsi="宋体" w:eastAsia="宋体" w:cs="宋体"/>
              <w:sz w:val="28"/>
              <w:szCs w:val="32"/>
            </w:rPr>
            <w:fldChar w:fldCharType="end"/>
          </w:r>
          <w:r>
            <w:rPr>
              <w:rFonts w:hint="eastAsia" w:ascii="宋体" w:hAnsi="宋体" w:eastAsia="宋体" w:cs="宋体"/>
              <w:bCs/>
              <w:sz w:val="28"/>
              <w:szCs w:val="32"/>
              <w:lang w:val="zh-CN"/>
            </w:rPr>
            <w:fldChar w:fldCharType="end"/>
          </w:r>
        </w:p>
        <w:p w14:paraId="34F76E31">
          <w:pPr>
            <w:keepNext w:val="0"/>
            <w:keepLines w:val="0"/>
            <w:pageBreakBefore w:val="0"/>
            <w:widowControl w:val="0"/>
            <w:kinsoku/>
            <w:wordWrap/>
            <w:overflowPunct/>
            <w:topLinePunct w:val="0"/>
            <w:autoSpaceDE/>
            <w:autoSpaceDN/>
            <w:bidi w:val="0"/>
            <w:adjustRightInd/>
            <w:snapToGrid/>
            <w:spacing w:after="0" w:line="360" w:lineRule="auto"/>
            <w:textAlignment w:val="auto"/>
            <w:rPr>
              <w:rFonts w:hint="eastAsia"/>
            </w:rPr>
          </w:pPr>
          <w:r>
            <w:rPr>
              <w:rFonts w:hint="eastAsia" w:ascii="宋体" w:hAnsi="宋体" w:eastAsia="宋体" w:cs="宋体"/>
              <w:bCs/>
              <w:sz w:val="28"/>
              <w:szCs w:val="32"/>
              <w:lang w:val="zh-CN"/>
            </w:rPr>
            <w:fldChar w:fldCharType="end"/>
          </w:r>
        </w:p>
      </w:sdtContent>
    </w:sdt>
    <w:p w14:paraId="40CFC9C8">
      <w:pPr>
        <w:rPr>
          <w:rFonts w:hint="eastAsia"/>
        </w:rPr>
        <w:sectPr>
          <w:footerReference r:id="rId5" w:type="default"/>
          <w:pgSz w:w="11906" w:h="16838"/>
          <w:pgMar w:top="1440" w:right="1800" w:bottom="1440" w:left="1800" w:header="851" w:footer="992" w:gutter="0"/>
          <w:pgNumType w:start="1"/>
          <w:cols w:space="425" w:num="1"/>
          <w:docGrid w:type="lines" w:linePitch="312" w:charSpace="0"/>
        </w:sectPr>
      </w:pPr>
    </w:p>
    <w:p w14:paraId="6E6B59BA">
      <w:pPr>
        <w:pStyle w:val="43"/>
        <w:ind w:firstLine="560" w:firstLineChars="200"/>
        <w:rPr>
          <w:rFonts w:hint="eastAsia" w:ascii="黑体" w:hAnsi="黑体" w:eastAsia="黑体" w:cs="黑体"/>
          <w:b w:val="0"/>
          <w:bCs/>
          <w:sz w:val="28"/>
          <w:szCs w:val="28"/>
          <w:highlight w:val="none"/>
        </w:rPr>
      </w:pPr>
      <w:bookmarkStart w:id="1" w:name="_Toc5100"/>
      <w:r>
        <w:rPr>
          <w:rFonts w:hint="eastAsia" w:ascii="黑体" w:hAnsi="黑体" w:eastAsia="黑体" w:cs="黑体"/>
          <w:b w:val="0"/>
          <w:bCs/>
          <w:sz w:val="28"/>
          <w:szCs w:val="28"/>
          <w:highlight w:val="none"/>
        </w:rPr>
        <w:t>一、概况</w:t>
      </w:r>
      <w:bookmarkEnd w:id="0"/>
      <w:bookmarkEnd w:id="1"/>
    </w:p>
    <w:p w14:paraId="275E2C15">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常州比亚迪汽车有限公司成立于2019年5月28日，注册地位于常州市新北区黄河西路999号，属比亚迪集团旗下大型制造企业，现有员工13128人，持有国家级高新技术企业、市级瞪羚企业等资质认证，核心业务涵盖新能源汽车整车制造、汽车零部件研发生产、充电桩运营及货物进出口等领域。</w:t>
      </w:r>
    </w:p>
    <w:p w14:paraId="62CDF0AD">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2024年9月至2025年8月期间，企业实现跨越式发展：产销规模再创新高，累计产销总额均突破360亿元，下线新能源整车29.84万辆，同比增长 57.1%，产量已超 2024 年全年总量。产品矩阵持续丰富，2025年9月投放纯电新车型元 UP，主力车型元 PLUS、海豹、海狮等成为全球爆款。</w:t>
      </w:r>
    </w:p>
    <w:p w14:paraId="11970EE4">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海外市场表现亮眼，依托 “常州号” 滚装船等物流支撑，出口数量及金额占比均超 50%，较去年同期翻倍增长，产品远销欧洲、东南亚等 “一带一路” 共建国家。</w:t>
      </w:r>
    </w:p>
    <w:p w14:paraId="6B2305D6">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我校汽车工程学院持续深化与常州比亚迪的产教融合，依托前期共建的新能源商用车实训基地（使用面积 3000 平米，含电动大客车、充电桩项目及动力电池、电机运行控制等实验实训室），推动合作向更深层次迈进。2025 年 4 月，学院与常州比亚迪人事及校企合作负责人一行围绕校企合作事宜展开深入洽谈，双方就成立产业学院达成共识，明确将通过 “学生进厂上课” 模式延伸教学场景，由企业选派专业技术人员担任企业导师，参与实训课程开发与人才培养方案制定，强化学生实践能力与岗位需求的适配度。</w:t>
      </w:r>
    </w:p>
    <w:p w14:paraId="39A3C7BF">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新能源汽车技术专业延续 “工学交替” 培养模式，每年有100余名学生在常州比亚迪开展岗位实习，通过一线实践巩固专业知识、提升实操技能；我校往届毕业生在该公司就业人数保持稳定，现有60余名毕业生就职于新能源整车生产、零部件研发等核心岗位，为企业发展提供技能支撑，实现校企人才供需精准对接，助力新能源汽车产业高素质技术技能型人才培养。</w:t>
      </w:r>
    </w:p>
    <w:p w14:paraId="3B14A82B">
      <w:pPr>
        <w:pStyle w:val="46"/>
        <w:ind w:firstLine="0" w:firstLineChars="0"/>
        <w:rPr>
          <w:rFonts w:hint="eastAsia" w:ascii="宋体" w:hAnsi="宋体" w:eastAsia="宋体" w:cs="宋体"/>
          <w:sz w:val="28"/>
          <w:szCs w:val="28"/>
          <w:highlight w:val="none"/>
          <w14:ligatures w14:val="none"/>
        </w:rPr>
      </w:pPr>
      <w:r>
        <w:rPr>
          <w:rFonts w:hint="eastAsia" w:ascii="宋体" w:hAnsi="宋体" w:eastAsia="宋体" w:cs="宋体"/>
          <w:sz w:val="28"/>
          <w:szCs w:val="28"/>
          <w:highlight w:val="none"/>
          <w14:ligatures w14:val="none"/>
        </w:rPr>
        <w:drawing>
          <wp:inline distT="0" distB="0" distL="0" distR="0">
            <wp:extent cx="2556510" cy="1553210"/>
            <wp:effectExtent l="0" t="0" r="0" b="8890"/>
            <wp:docPr id="1176723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23396" name="图片 1"/>
                    <pic:cNvPicPr>
                      <a:picLocks noChangeAspect="1"/>
                    </pic:cNvPicPr>
                  </pic:nvPicPr>
                  <pic:blipFill>
                    <a:blip r:embed="rId8"/>
                    <a:stretch>
                      <a:fillRect/>
                    </a:stretch>
                  </pic:blipFill>
                  <pic:spPr>
                    <a:xfrm>
                      <a:off x="0" y="0"/>
                      <a:ext cx="2606984" cy="1583775"/>
                    </a:xfrm>
                    <a:prstGeom prst="rect">
                      <a:avLst/>
                    </a:prstGeom>
                  </pic:spPr>
                </pic:pic>
              </a:graphicData>
            </a:graphic>
          </wp:inline>
        </w:drawing>
      </w:r>
      <w:r>
        <w:rPr>
          <w:rFonts w:hint="eastAsia" w:ascii="宋体" w:hAnsi="宋体" w:eastAsia="宋体" w:cs="宋体"/>
          <w:sz w:val="28"/>
          <w:szCs w:val="28"/>
          <w:highlight w:val="none"/>
          <w14:ligatures w14:val="none"/>
        </w:rPr>
        <w:t xml:space="preserve"> </w:t>
      </w:r>
      <w:r>
        <w:rPr>
          <w:rFonts w:hint="eastAsia" w:ascii="宋体" w:hAnsi="宋体" w:eastAsia="宋体" w:cs="宋体"/>
          <w:sz w:val="28"/>
          <w:szCs w:val="28"/>
          <w:highlight w:val="none"/>
          <w14:ligatures w14:val="none"/>
        </w:rPr>
        <w:drawing>
          <wp:inline distT="0" distB="0" distL="0" distR="0">
            <wp:extent cx="2024380" cy="1556385"/>
            <wp:effectExtent l="0" t="0" r="0" b="5715"/>
            <wp:docPr id="622221658" name="图片 4" descr="一群人站在房间里&#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221658" name="图片 4" descr="一群人站在房间里&#10;&#10;AI 生成的内容可能不正确。"/>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92709" cy="1609140"/>
                    </a:xfrm>
                    <a:prstGeom prst="rect">
                      <a:avLst/>
                    </a:prstGeom>
                    <a:noFill/>
                  </pic:spPr>
                </pic:pic>
              </a:graphicData>
            </a:graphic>
          </wp:inline>
        </w:drawing>
      </w:r>
    </w:p>
    <w:p w14:paraId="0078FDFE">
      <w:pPr>
        <w:pStyle w:val="43"/>
        <w:rPr>
          <w:rFonts w:hint="eastAsia" w:ascii="宋体" w:hAnsi="宋体" w:eastAsia="宋体" w:cs="宋体"/>
          <w:sz w:val="28"/>
          <w:szCs w:val="28"/>
          <w:highlight w:val="none"/>
          <w:lang w:val="zh-CN"/>
        </w:rPr>
      </w:pPr>
      <w:bookmarkStart w:id="2" w:name="_Toc3848"/>
      <w:r>
        <w:rPr>
          <w:rFonts w:hint="eastAsia" w:ascii="宋体" w:hAnsi="宋体" w:cs="宋体"/>
          <w:sz w:val="28"/>
          <w:szCs w:val="28"/>
          <w:highlight w:val="none"/>
          <w:lang w:val="en-US" w:eastAsia="zh-CN"/>
          <w14:ligatures w14:val="none"/>
        </w:rPr>
        <w:t xml:space="preserve">    </w:t>
      </w:r>
      <w:r>
        <w:rPr>
          <w:rFonts w:hint="eastAsia" w:ascii="黑体" w:hAnsi="黑体" w:eastAsia="黑体" w:cs="黑体"/>
          <w:b w:val="0"/>
          <w:bCs/>
          <w:sz w:val="28"/>
          <w:szCs w:val="28"/>
          <w:highlight w:val="none"/>
        </w:rPr>
        <w:t>二、</w:t>
      </w:r>
      <w:r>
        <w:rPr>
          <w:rFonts w:hint="eastAsia" w:ascii="黑体" w:hAnsi="黑体" w:eastAsia="黑体" w:cs="黑体"/>
          <w:b w:val="0"/>
          <w:bCs/>
          <w:sz w:val="28"/>
          <w:szCs w:val="28"/>
          <w:highlight w:val="none"/>
          <w:lang w:val="zh-CN"/>
        </w:rPr>
        <w:t>参与办学</w:t>
      </w:r>
      <w:bookmarkEnd w:id="2"/>
    </w:p>
    <w:p w14:paraId="1C78B4E8">
      <w:pPr>
        <w:pStyle w:val="46"/>
        <w:ind w:left="0" w:leftChars="0" w:firstLine="560" w:firstLineChars="200"/>
        <w:rPr>
          <w:rFonts w:hint="eastAsia" w:ascii="宋体" w:hAnsi="宋体" w:eastAsia="宋体" w:cs="宋体"/>
          <w:color w:val="333333"/>
          <w:sz w:val="28"/>
          <w:szCs w:val="28"/>
          <w:highlight w:val="none"/>
        </w:rPr>
      </w:pPr>
      <w:bookmarkStart w:id="3" w:name="_Toc32574"/>
      <w:bookmarkStart w:id="4" w:name="_Toc7533"/>
      <w:r>
        <w:rPr>
          <w:rFonts w:hint="eastAsia" w:ascii="宋体" w:hAnsi="宋体" w:eastAsia="宋体" w:cs="宋体"/>
          <w:color w:val="333333"/>
          <w:sz w:val="28"/>
          <w:szCs w:val="28"/>
          <w:highlight w:val="none"/>
        </w:rPr>
        <w:t>2025年，常州比亚迪汽车有限公司与无锡交通分院紧紧围绕新能源汽车产业布局，全面深化校企协同育人机制。由</w:t>
      </w:r>
      <w:r>
        <w:rPr>
          <w:rFonts w:hint="eastAsia" w:ascii="宋体" w:hAnsi="宋体" w:eastAsia="宋体" w:cs="宋体"/>
          <w:sz w:val="28"/>
          <w:szCs w:val="28"/>
          <w:highlight w:val="none"/>
        </w:rPr>
        <w:t>常州比亚迪汽车有限公司</w:t>
      </w:r>
      <w:r>
        <w:rPr>
          <w:rFonts w:hint="eastAsia" w:ascii="宋体" w:hAnsi="宋体" w:eastAsia="宋体" w:cs="宋体"/>
          <w:color w:val="333333"/>
          <w:sz w:val="28"/>
          <w:szCs w:val="28"/>
          <w:highlight w:val="none"/>
        </w:rPr>
        <w:t>提供实习基地、设备、原料</w:t>
      </w:r>
      <w:r>
        <w:rPr>
          <w:rFonts w:hint="eastAsia" w:ascii="宋体" w:hAnsi="宋体" w:cs="宋体"/>
          <w:color w:val="333333"/>
          <w:sz w:val="28"/>
          <w:szCs w:val="28"/>
          <w:highlight w:val="none"/>
          <w:lang w:eastAsia="zh-CN"/>
        </w:rPr>
        <w:t>，</w:t>
      </w:r>
      <w:r>
        <w:rPr>
          <w:rFonts w:hint="eastAsia" w:ascii="宋体" w:hAnsi="宋体" w:cs="宋体"/>
          <w:color w:val="333333"/>
          <w:sz w:val="28"/>
          <w:szCs w:val="28"/>
          <w:highlight w:val="none"/>
          <w:lang w:val="en-US" w:eastAsia="zh-CN"/>
        </w:rPr>
        <w:t>同时</w:t>
      </w:r>
      <w:r>
        <w:rPr>
          <w:rFonts w:hint="eastAsia" w:ascii="宋体" w:hAnsi="宋体" w:eastAsia="宋体" w:cs="宋体"/>
          <w:color w:val="333333"/>
          <w:sz w:val="28"/>
          <w:szCs w:val="28"/>
          <w:highlight w:val="none"/>
        </w:rPr>
        <w:t>参与学校的教学计划制定，并指派专业人员参与学校的专业教学。</w:t>
      </w:r>
      <w:r>
        <w:rPr>
          <w:rFonts w:hint="eastAsia" w:ascii="宋体" w:hAnsi="宋体" w:eastAsia="宋体" w:cs="宋体"/>
          <w:sz w:val="28"/>
          <w:szCs w:val="28"/>
          <w:highlight w:val="none"/>
        </w:rPr>
        <w:t>常州比亚迪汽车有限公司</w:t>
      </w:r>
      <w:r>
        <w:rPr>
          <w:rFonts w:hint="eastAsia" w:ascii="宋体" w:hAnsi="宋体" w:eastAsia="宋体" w:cs="宋体"/>
          <w:color w:val="333333"/>
          <w:sz w:val="28"/>
          <w:szCs w:val="28"/>
          <w:highlight w:val="none"/>
        </w:rPr>
        <w:t>优秀管理者或技术人员到学校授课，促进校企双方互聘，企业工程师走进学校给学生授课，同时学校教师给企业员工培训，提高员工的素质。通过校企双方的互聘，让学生在教学中获得技能训练的过程，既是提高专业技能的过程，也为企业生产产品、为企业创造价值的过程，既解决了实训材料费紧缺的矛盾，又练就了学生过硬的本领，真正实现在育人中创收、在创收中育人。</w:t>
      </w:r>
    </w:p>
    <w:p w14:paraId="5DC0F741">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本年度，双方聚焦合作实效，着力推动各项合作模式向标准化、精细化、纵深化方向发展，形成了多层次、覆盖人才成长全周期的培养矩阵。通过校企合作使企业得到人才，学生得到技能，学校得到发展</w:t>
      </w:r>
      <w:r>
        <w:rPr>
          <w:rFonts w:hint="eastAsia" w:ascii="宋体" w:hAnsi="宋体" w:cs="宋体"/>
          <w:color w:val="333333"/>
          <w:sz w:val="28"/>
          <w:szCs w:val="28"/>
          <w:highlight w:val="none"/>
          <w:lang w:eastAsia="zh-CN"/>
        </w:rPr>
        <w:t>，</w:t>
      </w:r>
      <w:r>
        <w:rPr>
          <w:rFonts w:hint="eastAsia" w:ascii="宋体" w:hAnsi="宋体" w:eastAsia="宋体" w:cs="宋体"/>
          <w:color w:val="333333"/>
          <w:sz w:val="28"/>
          <w:szCs w:val="28"/>
          <w:highlight w:val="none"/>
        </w:rPr>
        <w:t>实现学校与企业"优势互补、资源共享、互惠互利、共同发展"的双赢结果。</w:t>
      </w:r>
    </w:p>
    <w:p w14:paraId="4EDA63AF">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（1）“定向”培养模式</w:t>
      </w:r>
    </w:p>
    <w:p w14:paraId="2B2F2012">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根据我校专业综合实力，主动了解</w:t>
      </w:r>
      <w:r>
        <w:rPr>
          <w:rFonts w:hint="eastAsia" w:ascii="宋体" w:hAnsi="宋体" w:eastAsia="宋体" w:cs="宋体"/>
          <w:sz w:val="28"/>
          <w:szCs w:val="28"/>
          <w:highlight w:val="none"/>
        </w:rPr>
        <w:t>常州比亚迪汽车有限公司</w:t>
      </w:r>
      <w:r>
        <w:rPr>
          <w:rFonts w:hint="eastAsia" w:ascii="宋体" w:hAnsi="宋体" w:eastAsia="宋体" w:cs="宋体"/>
          <w:color w:val="333333"/>
          <w:sz w:val="28"/>
          <w:szCs w:val="28"/>
          <w:highlight w:val="none"/>
        </w:rPr>
        <w:t>的用人需求，积极主动地与企业沟通协商，使学生直接学习用人单位所急需的职业岗位知识和技能，</w:t>
      </w:r>
      <w:r>
        <w:rPr>
          <w:rFonts w:hint="eastAsia" w:ascii="宋体" w:hAnsi="宋体" w:cs="宋体"/>
          <w:color w:val="333333"/>
          <w:sz w:val="28"/>
          <w:szCs w:val="28"/>
          <w:highlight w:val="none"/>
          <w:lang w:eastAsia="zh-CN"/>
        </w:rPr>
        <w:t>达成</w:t>
      </w:r>
      <w:r>
        <w:rPr>
          <w:rFonts w:hint="eastAsia" w:ascii="宋体" w:hAnsi="宋体" w:eastAsia="宋体" w:cs="宋体"/>
          <w:color w:val="333333"/>
          <w:sz w:val="28"/>
          <w:szCs w:val="28"/>
          <w:highlight w:val="none"/>
        </w:rPr>
        <w:t>供需共识，签订订单培养协议书；明确双方职责，学校负责招生，根据</w:t>
      </w:r>
      <w:r>
        <w:rPr>
          <w:rFonts w:hint="eastAsia" w:ascii="宋体" w:hAnsi="宋体" w:eastAsia="宋体" w:cs="宋体"/>
          <w:sz w:val="28"/>
          <w:szCs w:val="28"/>
          <w:highlight w:val="none"/>
        </w:rPr>
        <w:t>常州比亚迪汽车有限公司</w:t>
      </w:r>
      <w:r>
        <w:rPr>
          <w:rFonts w:hint="eastAsia" w:ascii="宋体" w:hAnsi="宋体" w:eastAsia="宋体" w:cs="宋体"/>
          <w:color w:val="333333"/>
          <w:sz w:val="28"/>
          <w:szCs w:val="28"/>
          <w:highlight w:val="none"/>
        </w:rPr>
        <w:t>用工要求，制定切合培养目标的教学计划和开课计划并与企业共同组织实施教学，对学生进行定向培养；企业提供实习教学条件并投入一定资金，用于学校添置必需的教学设施、实习实训场地建设、改善食宿等办学条件和学生专项奖学金等方面；学生毕业并取得相应的职业资格证书后接收学生就业。</w:t>
      </w:r>
      <w:r>
        <w:rPr>
          <w:rFonts w:hint="eastAsia" w:ascii="宋体" w:hAnsi="宋体" w:eastAsia="宋体" w:cs="宋体"/>
          <w:color w:val="333333"/>
          <w:sz w:val="28"/>
          <w:szCs w:val="28"/>
          <w:highlight w:val="none"/>
        </w:rPr>
        <w:cr/>
      </w:r>
      <w:r>
        <w:rPr>
          <w:rFonts w:hint="eastAsia" w:ascii="宋体" w:hAnsi="宋体" w:eastAsia="宋体" w:cs="宋体"/>
          <w:color w:val="333333"/>
          <w:sz w:val="28"/>
          <w:szCs w:val="28"/>
          <w:highlight w:val="none"/>
        </w:rPr>
        <w:t xml:space="preserve">   （2）顶岗实习模式</w:t>
      </w:r>
    </w:p>
    <w:p w14:paraId="49EE10CE">
      <w:pPr>
        <w:pStyle w:val="46"/>
        <w:ind w:firstLine="480"/>
        <w:rPr>
          <w:rFonts w:hint="eastAsia" w:ascii="宋体" w:hAnsi="宋体" w:eastAsia="宋体" w:cs="宋体"/>
          <w:color w:val="FF0000"/>
          <w:sz w:val="28"/>
          <w:szCs w:val="28"/>
          <w:highlight w:val="none"/>
        </w:rPr>
      </w:pPr>
      <w:r>
        <w:rPr>
          <w:rFonts w:hint="eastAsia" w:ascii="宋体" w:hAnsi="宋体" w:eastAsia="宋体" w:cs="宋体"/>
          <w:color w:val="333333"/>
          <w:sz w:val="28"/>
          <w:szCs w:val="28"/>
          <w:highlight w:val="none"/>
        </w:rPr>
        <w:t>通过前四年在校学习，培养学生本专业的理论知识、实践技能及职业基本素质；从第五年开始，根据</w:t>
      </w:r>
      <w:r>
        <w:rPr>
          <w:rFonts w:hint="eastAsia" w:ascii="宋体" w:hAnsi="宋体" w:eastAsia="宋体" w:cs="宋体"/>
          <w:sz w:val="28"/>
          <w:szCs w:val="28"/>
          <w:highlight w:val="none"/>
        </w:rPr>
        <w:t>常州比亚迪汽车有限公司</w:t>
      </w:r>
      <w:r>
        <w:rPr>
          <w:rFonts w:hint="eastAsia" w:ascii="宋体" w:hAnsi="宋体" w:eastAsia="宋体" w:cs="宋体"/>
          <w:color w:val="333333"/>
          <w:sz w:val="28"/>
          <w:szCs w:val="28"/>
          <w:highlight w:val="none"/>
        </w:rPr>
        <w:t>需求工种和用工条件决定培训期限，在校外实习实训基地进行工学交替教学、实训，在企业实践教师指导下实现轮岗实操培训，熟悉企业一线相应岗位的实际操作标准与要求，提升职业岗位技能，做到与工作岗位“零距离”对接，为顶岗实习奠定坚实基础，然后进行顶岗实习，拟定就业岗位，以“准员工”身份进行顶岗实际工作，学生接受企业的分配和管理企业付给学生相应岗位的劳动报酬。今年，我校对全年参与工学交替及顶岗实习的</w:t>
      </w:r>
      <w:r>
        <w:rPr>
          <w:rFonts w:hint="eastAsia" w:ascii="宋体" w:hAnsi="宋体" w:eastAsia="宋体" w:cs="宋体"/>
          <w:sz w:val="28"/>
          <w:szCs w:val="28"/>
          <w:highlight w:val="none"/>
        </w:rPr>
        <w:t>学生实施精细化、痕迹化管理。本年度，我校共计安排了20名专职教师作为实习指导教师，定期赴企业巡查，并与企业为实习生配备的技术导师保持密切联动。</w:t>
      </w:r>
    </w:p>
    <w:p w14:paraId="4D078680">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drawing>
          <wp:anchor distT="0" distB="0" distL="114300" distR="114300" simplePos="0" relativeHeight="251659264" behindDoc="0" locked="0" layoutInCell="1" allowOverlap="1">
            <wp:simplePos x="0" y="0"/>
            <wp:positionH relativeFrom="column">
              <wp:posOffset>3190240</wp:posOffset>
            </wp:positionH>
            <wp:positionV relativeFrom="paragraph">
              <wp:posOffset>247650</wp:posOffset>
            </wp:positionV>
            <wp:extent cx="1970405" cy="1975485"/>
            <wp:effectExtent l="0" t="0" r="0" b="5715"/>
            <wp:wrapTopAndBottom/>
            <wp:docPr id="2277472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747284" name="图片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970405" cy="1975485"/>
                    </a:xfrm>
                    <a:prstGeom prst="rect">
                      <a:avLst/>
                    </a:prstGeom>
                    <a:noFill/>
                    <a:ln>
                      <a:noFill/>
                    </a:ln>
                  </pic:spPr>
                </pic:pic>
              </a:graphicData>
            </a:graphic>
          </wp:anchor>
        </w:drawing>
      </w:r>
      <w:r>
        <w:rPr>
          <w:rFonts w:hint="eastAsia" w:ascii="宋体" w:hAnsi="宋体" w:eastAsia="宋体" w:cs="宋体"/>
          <w:sz w:val="28"/>
          <w:szCs w:val="28"/>
          <w:highlight w:val="none"/>
        </w:rPr>
        <w:drawing>
          <wp:anchor distT="0" distB="0" distL="114300" distR="114300" simplePos="0" relativeHeight="251660288" behindDoc="0" locked="0" layoutInCell="1" allowOverlap="1">
            <wp:simplePos x="0" y="0"/>
            <wp:positionH relativeFrom="column">
              <wp:posOffset>-3810</wp:posOffset>
            </wp:positionH>
            <wp:positionV relativeFrom="paragraph">
              <wp:posOffset>260350</wp:posOffset>
            </wp:positionV>
            <wp:extent cx="3173730" cy="1990725"/>
            <wp:effectExtent l="0" t="0" r="7620" b="9525"/>
            <wp:wrapTopAndBottom/>
            <wp:docPr id="877632544" name="图片 4" descr="卡车停在街道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32544" name="图片 4" descr="卡车停在街道上&#10;&#10;AI 生成的内容可能不正确。"/>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173730" cy="1990725"/>
                    </a:xfrm>
                    <a:prstGeom prst="rect">
                      <a:avLst/>
                    </a:prstGeom>
                    <a:noFill/>
                    <a:ln>
                      <a:noFill/>
                    </a:ln>
                    <a:effectLst/>
                  </pic:spPr>
                </pic:pic>
              </a:graphicData>
            </a:graphic>
          </wp:anchor>
        </w:drawing>
      </w:r>
      <w:r>
        <w:rPr>
          <w:rFonts w:hint="eastAsia" w:ascii="宋体" w:hAnsi="宋体" w:eastAsia="宋体" w:cs="宋体"/>
          <w:color w:val="333333"/>
          <w:sz w:val="28"/>
          <w:szCs w:val="28"/>
          <w:highlight w:val="none"/>
        </w:rPr>
        <w:t>（3）认知模式</w:t>
      </w:r>
    </w:p>
    <w:p w14:paraId="34BFCA45">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我校将职业认知教育贯穿人才培养始末。针对低年级学生，我校教学部门主动联系企业，组织一年级学生分批次前往常州比亚迪公司的智能化产线、研发测试中心和客户技术支援平台进行参观与短期体验。让学生了解企业，了解生产流程和设备设施工作原理，学习企业文化，体验企业生活。这样有助于学生理论联系实际，提高学习兴趣和培养他们爱岗敬业的精神。</w:t>
      </w:r>
    </w:p>
    <w:p w14:paraId="3CBF96E1">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（4）双方职工培训和研发模式</w:t>
      </w:r>
    </w:p>
    <w:p w14:paraId="1D0BF91A">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利用学校教师资源、职业技能鉴定培训点、继续教育等资源，主动承接企业的职工培训工作及继续教育工作</w:t>
      </w:r>
      <w:r>
        <w:rPr>
          <w:rFonts w:hint="eastAsia" w:ascii="宋体" w:hAnsi="宋体" w:cs="宋体"/>
          <w:color w:val="333333"/>
          <w:sz w:val="28"/>
          <w:szCs w:val="28"/>
          <w:highlight w:val="none"/>
          <w:lang w:eastAsia="zh-CN"/>
        </w:rPr>
        <w:t>，让</w:t>
      </w:r>
      <w:r>
        <w:rPr>
          <w:rFonts w:hint="eastAsia" w:ascii="宋体" w:hAnsi="宋体" w:eastAsia="宋体" w:cs="宋体"/>
          <w:color w:val="333333"/>
          <w:sz w:val="28"/>
          <w:szCs w:val="28"/>
          <w:highlight w:val="none"/>
        </w:rPr>
        <w:t>学校教师参与企业的研发项目和技术服务工作</w:t>
      </w:r>
      <w:r>
        <w:rPr>
          <w:rFonts w:hint="eastAsia" w:ascii="宋体" w:hAnsi="宋体" w:cs="宋体"/>
          <w:color w:val="333333"/>
          <w:sz w:val="28"/>
          <w:szCs w:val="28"/>
          <w:highlight w:val="none"/>
          <w:lang w:eastAsia="zh-CN"/>
        </w:rPr>
        <w:t>，</w:t>
      </w:r>
      <w:r>
        <w:rPr>
          <w:rFonts w:hint="eastAsia" w:ascii="宋体" w:hAnsi="宋体" w:eastAsia="宋体" w:cs="宋体"/>
          <w:color w:val="333333"/>
          <w:sz w:val="28"/>
          <w:szCs w:val="28"/>
          <w:highlight w:val="none"/>
        </w:rPr>
        <w:t>建立良好的双方支援体系，互惠互利，互相支持，获取企业对学校设备设施及实习耗材的支持和帮助。</w:t>
      </w:r>
    </w:p>
    <w:p w14:paraId="6F60193C">
      <w:pPr>
        <w:pStyle w:val="46"/>
        <w:ind w:left="0" w:leftChars="0" w:firstLine="0" w:firstLineChars="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drawing>
          <wp:inline distT="0" distB="0" distL="0" distR="0">
            <wp:extent cx="5274310" cy="1834515"/>
            <wp:effectExtent l="0" t="0" r="2540" b="0"/>
            <wp:docPr id="1631816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1662"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1834515"/>
                    </a:xfrm>
                    <a:prstGeom prst="rect">
                      <a:avLst/>
                    </a:prstGeom>
                    <a:noFill/>
                  </pic:spPr>
                </pic:pic>
              </a:graphicData>
            </a:graphic>
          </wp:inline>
        </w:drawing>
      </w:r>
    </w:p>
    <w:p w14:paraId="09780FB4">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w:t>
      </w:r>
      <w:r>
        <w:rPr>
          <w:rFonts w:hint="eastAsia" w:ascii="宋体" w:hAnsi="宋体" w:cs="宋体"/>
          <w:color w:val="333333"/>
          <w:sz w:val="28"/>
          <w:szCs w:val="28"/>
          <w:highlight w:val="none"/>
          <w:lang w:val="en-US" w:eastAsia="zh-CN"/>
        </w:rPr>
        <w:t>5</w:t>
      </w:r>
      <w:r>
        <w:rPr>
          <w:rFonts w:hint="eastAsia" w:ascii="宋体" w:hAnsi="宋体" w:eastAsia="宋体" w:cs="宋体"/>
          <w:color w:val="333333"/>
          <w:sz w:val="28"/>
          <w:szCs w:val="28"/>
          <w:highlight w:val="none"/>
        </w:rPr>
        <w:t>）校企合作开发课程</w:t>
      </w:r>
    </w:p>
    <w:p w14:paraId="5DFF12FA">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课程开发应考虑到实现教学与生产同步，实习与就业同步。校企共同制订课程的教学计划、实训标准。学生的基础理论课和专业理论课由学校负责完成，学生的生产实习、顶岗实习在企业完成，课程实施过程以工学结合、顶岗实习为主。</w:t>
      </w:r>
    </w:p>
    <w:p w14:paraId="1D87EF91">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开发的课程具备</w:t>
      </w:r>
      <w:r>
        <w:rPr>
          <w:rFonts w:hint="eastAsia" w:ascii="宋体" w:hAnsi="宋体" w:cs="宋体"/>
          <w:color w:val="333333"/>
          <w:sz w:val="28"/>
          <w:szCs w:val="28"/>
          <w:highlight w:val="none"/>
          <w:lang w:val="en-US" w:eastAsia="zh-CN"/>
        </w:rPr>
        <w:t>了如下</w:t>
      </w:r>
      <w:r>
        <w:rPr>
          <w:rFonts w:hint="eastAsia" w:ascii="宋体" w:hAnsi="宋体" w:eastAsia="宋体" w:cs="宋体"/>
          <w:color w:val="333333"/>
          <w:sz w:val="28"/>
          <w:szCs w:val="28"/>
          <w:highlight w:val="none"/>
        </w:rPr>
        <w:t>特点：一是课程结构模块化，以实际工作岗位需求分析为基础，其课程体系、课程内容均</w:t>
      </w:r>
      <w:r>
        <w:rPr>
          <w:rFonts w:hint="eastAsia" w:ascii="宋体" w:hAnsi="宋体" w:cs="宋体"/>
          <w:color w:val="333333"/>
          <w:sz w:val="28"/>
          <w:szCs w:val="28"/>
          <w:highlight w:val="none"/>
          <w:lang w:eastAsia="zh-CN"/>
        </w:rPr>
        <w:t>来自</w:t>
      </w:r>
      <w:r>
        <w:rPr>
          <w:rFonts w:hint="eastAsia" w:ascii="宋体" w:hAnsi="宋体" w:eastAsia="宋体" w:cs="宋体"/>
          <w:color w:val="333333"/>
          <w:sz w:val="28"/>
          <w:szCs w:val="28"/>
          <w:highlight w:val="none"/>
        </w:rPr>
        <w:t>实际工作任务模块，从而建立以工作体系为基础的课程内容体系；二是课程内容综合化，主要体现在理论知识与实践知识的综合，职业技能与职业态度、情感的综合；三是课程实施一体化，主要体现在实施主体、教学过程、教学场所等三方面的变化。也就是融“教、学、做”为一体，构建以合作为主题的新型师生、师徒、生生关系，实现教具与工具、耗材与原料相结合，做到教室、实训室或生产车间的三者结合等；四是课程评价开放化，除了进行校内评价之外，还引入企业及社会的评价。</w:t>
      </w:r>
    </w:p>
    <w:p w14:paraId="02FE52FD">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w:t>
      </w:r>
      <w:r>
        <w:rPr>
          <w:rFonts w:hint="eastAsia" w:ascii="宋体" w:hAnsi="宋体" w:cs="宋体"/>
          <w:color w:val="333333"/>
          <w:sz w:val="28"/>
          <w:szCs w:val="28"/>
          <w:highlight w:val="none"/>
          <w:lang w:val="en-US" w:eastAsia="zh-CN"/>
        </w:rPr>
        <w:t>6</w:t>
      </w:r>
      <w:r>
        <w:rPr>
          <w:rFonts w:hint="eastAsia" w:ascii="宋体" w:hAnsi="宋体" w:eastAsia="宋体" w:cs="宋体"/>
          <w:color w:val="333333"/>
          <w:sz w:val="28"/>
          <w:szCs w:val="28"/>
          <w:highlight w:val="none"/>
        </w:rPr>
        <w:t>）校企合作开发教材</w:t>
      </w:r>
    </w:p>
    <w:p w14:paraId="71C2680F">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教材开发应基于课程开发的基础上实施。教材开发应聘请行业专家与学校专业教师针对专业课程特点，结合学生在</w:t>
      </w:r>
      <w:r>
        <w:rPr>
          <w:rFonts w:hint="eastAsia" w:ascii="宋体" w:hAnsi="宋体" w:cs="宋体"/>
          <w:color w:val="333333"/>
          <w:sz w:val="28"/>
          <w:szCs w:val="28"/>
          <w:highlight w:val="none"/>
          <w:lang w:val="en-US" w:eastAsia="zh-CN"/>
        </w:rPr>
        <w:t>比亚迪汽车有限公司</w:t>
      </w:r>
      <w:r>
        <w:rPr>
          <w:rFonts w:hint="eastAsia" w:ascii="宋体" w:hAnsi="宋体" w:eastAsia="宋体" w:cs="宋体"/>
          <w:color w:val="333333"/>
          <w:sz w:val="28"/>
          <w:szCs w:val="28"/>
          <w:highlight w:val="none"/>
        </w:rPr>
        <w:t>一线的实习实训环境，编写针对性强的教材。教材可以先从讲义入手，然后根据实际使用情况，逐步修正，过渡到校本教材和正式出版教材。</w:t>
      </w:r>
    </w:p>
    <w:p w14:paraId="4A1EF17A">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w:t>
      </w:r>
      <w:r>
        <w:rPr>
          <w:rFonts w:hint="eastAsia" w:ascii="宋体" w:hAnsi="宋体" w:cs="宋体"/>
          <w:color w:val="333333"/>
          <w:sz w:val="28"/>
          <w:szCs w:val="28"/>
          <w:highlight w:val="none"/>
          <w:lang w:val="en-US" w:eastAsia="zh-CN"/>
        </w:rPr>
        <w:t>7</w:t>
      </w:r>
      <w:r>
        <w:rPr>
          <w:rFonts w:hint="eastAsia" w:ascii="宋体" w:hAnsi="宋体" w:eastAsia="宋体" w:cs="宋体"/>
          <w:color w:val="333333"/>
          <w:sz w:val="28"/>
          <w:szCs w:val="28"/>
          <w:highlight w:val="none"/>
        </w:rPr>
        <w:t>）成立专业教学指导委员会</w:t>
      </w:r>
    </w:p>
    <w:p w14:paraId="2022A0A0">
      <w:pPr>
        <w:pStyle w:val="46"/>
        <w:ind w:firstLine="480"/>
        <w:rPr>
          <w:rFonts w:hint="eastAsia" w:ascii="宋体" w:hAnsi="宋体" w:eastAsia="宋体" w:cs="宋体"/>
          <w:color w:val="333333"/>
          <w:sz w:val="28"/>
          <w:szCs w:val="28"/>
          <w:highlight w:val="none"/>
        </w:rPr>
      </w:pPr>
      <w:r>
        <w:rPr>
          <w:rFonts w:hint="eastAsia" w:ascii="宋体" w:hAnsi="宋体" w:eastAsia="宋体" w:cs="宋体"/>
          <w:color w:val="333333"/>
          <w:sz w:val="28"/>
          <w:szCs w:val="28"/>
          <w:highlight w:val="none"/>
        </w:rPr>
        <w:t>根据专业、课程特点，聘请企业行业专家与学校教师共同组建“专业教学指导委员会”。共同商讨、明确专业人才的培养目标，确定专业教学计划方案和教学内容，提供市场人才需求信息，参与教学计划的制定和调整，根据企业、行业的用工要求及时调整课程教学计划和实训计划，协助学校确立校外实习实训基地。</w:t>
      </w:r>
    </w:p>
    <w:p w14:paraId="098D3BDB">
      <w:pPr>
        <w:pStyle w:val="43"/>
        <w:ind w:firstLine="560" w:firstLineChars="200"/>
        <w:rPr>
          <w:rFonts w:hint="eastAsia" w:ascii="黑体" w:hAnsi="黑体" w:eastAsia="黑体" w:cs="黑体"/>
          <w:b w:val="0"/>
          <w:bCs/>
          <w:sz w:val="28"/>
          <w:szCs w:val="28"/>
          <w:highlight w:val="none"/>
          <w:lang w:val="en-US" w:eastAsia="zh-CN"/>
          <w14:ligatures w14:val="none"/>
        </w:rPr>
      </w:pPr>
      <w:bookmarkStart w:id="5" w:name="_Toc20000"/>
      <w:r>
        <w:rPr>
          <w:rFonts w:hint="eastAsia" w:ascii="黑体" w:hAnsi="黑体" w:eastAsia="黑体" w:cs="黑体"/>
          <w:b w:val="0"/>
          <w:bCs/>
          <w:sz w:val="28"/>
          <w:szCs w:val="28"/>
          <w:highlight w:val="none"/>
          <w:lang w:val="en-US" w:eastAsia="zh-CN"/>
          <w14:ligatures w14:val="none"/>
        </w:rPr>
        <w:t>三、资源投入</w:t>
      </w:r>
      <w:bookmarkEnd w:id="3"/>
      <w:bookmarkEnd w:id="5"/>
    </w:p>
    <w:p w14:paraId="058B954E">
      <w:pPr>
        <w:spacing w:line="360" w:lineRule="auto"/>
        <w:ind w:firstLine="560" w:firstLineChars="200"/>
        <w:jc w:val="left"/>
        <w:rPr>
          <w:rFonts w:hint="eastAsia" w:ascii="宋体" w:hAnsi="宋体" w:eastAsia="宋体" w:cs="宋体"/>
          <w:b w:val="0"/>
          <w:color w:val="333333"/>
          <w:kern w:val="2"/>
          <w:sz w:val="28"/>
          <w:szCs w:val="28"/>
          <w:highlight w:val="none"/>
          <w:lang w:val="en-US" w:eastAsia="zh-CN" w:bidi="ar-SA"/>
          <w14:ligatures w14:val="standardContextual"/>
        </w:rPr>
      </w:pPr>
      <w:r>
        <w:rPr>
          <w:rFonts w:hint="eastAsia" w:ascii="宋体" w:hAnsi="宋体" w:eastAsia="宋体" w:cs="宋体"/>
          <w:b w:val="0"/>
          <w:color w:val="333333"/>
          <w:kern w:val="2"/>
          <w:sz w:val="28"/>
          <w:szCs w:val="28"/>
          <w:highlight w:val="none"/>
          <w:lang w:val="en-US" w:eastAsia="zh-CN" w:bidi="ar-SA"/>
          <w14:ligatures w14:val="standardContextual"/>
        </w:rPr>
        <w:t>为满足学校对汽车实训教学的需要，改善教学条件，加强学生实际操作技能，</w:t>
      </w:r>
      <w:r>
        <w:rPr>
          <w:rFonts w:hint="eastAsia" w:ascii="宋体" w:hAnsi="宋体" w:cs="宋体"/>
          <w:color w:val="333333"/>
          <w:sz w:val="28"/>
          <w:szCs w:val="28"/>
          <w:highlight w:val="none"/>
          <w:lang w:val="en-US" w:eastAsia="zh-CN"/>
        </w:rPr>
        <w:t>比亚迪汽车有限公司</w:t>
      </w:r>
      <w:r>
        <w:rPr>
          <w:rFonts w:hint="eastAsia" w:ascii="宋体" w:hAnsi="宋体" w:eastAsia="宋体" w:cs="宋体"/>
          <w:b w:val="0"/>
          <w:color w:val="333333"/>
          <w:kern w:val="2"/>
          <w:sz w:val="28"/>
          <w:szCs w:val="28"/>
          <w:highlight w:val="none"/>
          <w:lang w:val="en-US" w:eastAsia="zh-CN" w:bidi="ar-SA"/>
          <w14:ligatures w14:val="standardContextual"/>
        </w:rPr>
        <w:t>协助我校共建专业教学实训室，将丰富的专业知识与综合实训课程搬到学校课堂，使学生们在学校里就有机会接触和掌握各种操作设备，体检工厂的真实环境，辅助学校完成实训教学应用。</w:t>
      </w:r>
    </w:p>
    <w:p w14:paraId="2CC9A1C9">
      <w:pPr>
        <w:pStyle w:val="43"/>
        <w:ind w:firstLine="560" w:firstLineChars="200"/>
        <w:rPr>
          <w:rFonts w:hint="eastAsia" w:ascii="黑体" w:hAnsi="黑体" w:eastAsia="黑体" w:cs="黑体"/>
          <w:b w:val="0"/>
          <w:bCs/>
          <w:sz w:val="28"/>
          <w:szCs w:val="28"/>
          <w:highlight w:val="none"/>
          <w:lang w:val="en-US" w:eastAsia="zh-CN"/>
          <w14:ligatures w14:val="none"/>
        </w:rPr>
      </w:pPr>
      <w:bookmarkStart w:id="6" w:name="_Toc14208"/>
      <w:r>
        <w:rPr>
          <w:rFonts w:hint="eastAsia" w:ascii="黑体" w:hAnsi="黑体" w:eastAsia="黑体" w:cs="黑体"/>
          <w:b w:val="0"/>
          <w:bCs/>
          <w:sz w:val="28"/>
          <w:szCs w:val="28"/>
          <w:highlight w:val="none"/>
          <w:lang w:val="en-US" w:eastAsia="zh-CN"/>
          <w14:ligatures w14:val="none"/>
        </w:rPr>
        <w:t>四</w:t>
      </w:r>
      <w:r>
        <w:rPr>
          <w:rFonts w:hint="eastAsia" w:ascii="黑体" w:hAnsi="黑体" w:eastAsia="黑体" w:cs="黑体"/>
          <w:b w:val="0"/>
          <w:bCs/>
          <w:sz w:val="28"/>
          <w:szCs w:val="28"/>
          <w:highlight w:val="none"/>
          <w:lang w:val="zh-CN" w:eastAsia="zh-CN"/>
          <w14:ligatures w14:val="none"/>
        </w:rPr>
        <w:t>、</w:t>
      </w:r>
      <w:r>
        <w:rPr>
          <w:rFonts w:hint="eastAsia" w:ascii="黑体" w:hAnsi="黑体" w:eastAsia="黑体" w:cs="黑体"/>
          <w:b w:val="0"/>
          <w:bCs/>
          <w:sz w:val="28"/>
          <w:szCs w:val="28"/>
          <w:highlight w:val="none"/>
          <w:lang w:val="en-US" w:eastAsia="zh-CN"/>
          <w14:ligatures w14:val="none"/>
        </w:rPr>
        <w:t>参与教学</w:t>
      </w:r>
      <w:bookmarkEnd w:id="4"/>
      <w:bookmarkEnd w:id="6"/>
      <w:bookmarkStart w:id="7" w:name="_Toc20688"/>
    </w:p>
    <w:p w14:paraId="10DC9D90">
      <w:pPr>
        <w:pStyle w:val="44"/>
        <w:ind w:firstLine="562" w:firstLineChars="200"/>
        <w:rPr>
          <w:rFonts w:hint="eastAsia" w:ascii="宋体" w:hAnsi="宋体" w:eastAsia="宋体" w:cs="宋体"/>
          <w:sz w:val="28"/>
          <w:szCs w:val="28"/>
          <w:highlight w:val="none"/>
        </w:rPr>
      </w:pPr>
      <w:bookmarkStart w:id="8" w:name="_Toc8087"/>
      <w:r>
        <w:rPr>
          <w:rFonts w:hint="eastAsia" w:ascii="宋体" w:hAnsi="宋体" w:eastAsia="宋体" w:cs="宋体"/>
          <w:sz w:val="28"/>
          <w:szCs w:val="28"/>
          <w:highlight w:val="none"/>
        </w:rPr>
        <w:t>（一）专业建设</w:t>
      </w:r>
      <w:bookmarkEnd w:id="7"/>
      <w:bookmarkEnd w:id="8"/>
    </w:p>
    <w:p w14:paraId="7A95617E">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1、标准修订</w:t>
      </w:r>
    </w:p>
    <w:p w14:paraId="4FCA2A37">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过去一学年，学校与比亚迪共同对新能源汽车技术专业的人才培养标准进行了系统升级。通过引入企业现行的技师认证体系，重新梳理了高压安全作业、电池系统诊断、整车电控标定等关键能力要求，并将这些要求转化为不同年级的学习目标。新的课程地图更加突出“绿色维修”与“智能诊断”两大方向，使学生在毕业时能够达到与企业初级技师相当的技术水平，同时也为后续晋升提供了清晰的能力阶梯。</w:t>
      </w:r>
    </w:p>
    <w:p w14:paraId="19C25B2C">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 xml:space="preserve"> 2、课程与教材</w:t>
      </w:r>
    </w:p>
    <w:p w14:paraId="50305CA2">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在课程建设方面，双方组建混编团队，围绕典型岗位任务开发了</w:t>
      </w:r>
      <w:r>
        <w:rPr>
          <w:rFonts w:hint="eastAsia" w:ascii="宋体" w:hAnsi="宋体" w:cs="宋体"/>
          <w:sz w:val="28"/>
          <w:szCs w:val="28"/>
          <w:highlight w:val="none"/>
          <w:lang w:eastAsia="zh-CN"/>
        </w:rPr>
        <w:t>《</w:t>
      </w:r>
      <w:r>
        <w:rPr>
          <w:rFonts w:hint="eastAsia" w:ascii="宋体" w:hAnsi="宋体" w:cs="宋体"/>
          <w:sz w:val="28"/>
          <w:szCs w:val="28"/>
          <w:highlight w:val="none"/>
          <w:lang w:val="en-US" w:eastAsia="zh-CN"/>
        </w:rPr>
        <w:t>驱动电机及其控制技术》《新能源</w:t>
      </w:r>
      <w:r>
        <w:rPr>
          <w:rFonts w:hint="eastAsia" w:ascii="宋体" w:hAnsi="宋体" w:cs="宋体"/>
          <w:color w:val="333333"/>
          <w:sz w:val="28"/>
          <w:szCs w:val="28"/>
          <w:highlight w:val="none"/>
          <w:lang w:val="en-US" w:eastAsia="zh-CN"/>
        </w:rPr>
        <w:t>汽车整车控制技术</w:t>
      </w:r>
      <w:r>
        <w:rPr>
          <w:rFonts w:hint="eastAsia" w:ascii="宋体" w:hAnsi="宋体" w:cs="宋体"/>
          <w:sz w:val="28"/>
          <w:szCs w:val="28"/>
          <w:highlight w:val="none"/>
          <w:lang w:val="en-US" w:eastAsia="zh-CN"/>
        </w:rPr>
        <w:t>》等</w:t>
      </w:r>
      <w:r>
        <w:rPr>
          <w:rFonts w:hint="eastAsia" w:ascii="宋体" w:hAnsi="宋体" w:eastAsia="宋体" w:cs="宋体"/>
          <w:sz w:val="28"/>
          <w:szCs w:val="28"/>
          <w:highlight w:val="none"/>
        </w:rPr>
        <w:t>模块化课程。每门课程都配有工单式活页教材、线上微课和虚拟仿真实训任务，教师可以根据技术更新灵活替换内容，保持教学与产业同步。</w:t>
      </w:r>
      <w:r>
        <w:rPr>
          <w:rFonts w:hint="eastAsia" w:ascii="宋体" w:hAnsi="宋体" w:cs="宋体"/>
          <w:color w:val="333333"/>
          <w:sz w:val="28"/>
          <w:szCs w:val="28"/>
          <w:highlight w:val="none"/>
          <w:lang w:val="en-US" w:eastAsia="zh-CN"/>
        </w:rPr>
        <w:t>比亚迪汽车有限公司</w:t>
      </w:r>
      <w:r>
        <w:rPr>
          <w:rFonts w:hint="eastAsia" w:ascii="宋体" w:hAnsi="宋体" w:eastAsia="宋体" w:cs="宋体"/>
          <w:sz w:val="28"/>
          <w:szCs w:val="28"/>
          <w:highlight w:val="none"/>
        </w:rPr>
        <w:t>定期将售后环节出现的典型案例汇入课程库，使课堂内容始终贴近一线需求。通过季度评审机制，课程组能够及时调整教学重点，确保学生掌握的技能与现场要求保持一致。</w:t>
      </w:r>
    </w:p>
    <w:p w14:paraId="6A5E8EC9">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 xml:space="preserve"> 3、教学团队</w:t>
      </w:r>
    </w:p>
    <w:p w14:paraId="4898B05A">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师资队伍方面，学校继续推进“校企互聘”制度。</w:t>
      </w:r>
      <w:r>
        <w:rPr>
          <w:rFonts w:hint="eastAsia" w:ascii="宋体" w:hAnsi="宋体" w:cs="宋体"/>
          <w:sz w:val="28"/>
          <w:szCs w:val="28"/>
          <w:highlight w:val="none"/>
          <w:lang w:val="en-US" w:eastAsia="zh-CN"/>
        </w:rPr>
        <w:t>汽车工程学院23名</w:t>
      </w:r>
      <w:r>
        <w:rPr>
          <w:rFonts w:hint="eastAsia" w:ascii="宋体" w:hAnsi="宋体" w:eastAsia="宋体" w:cs="宋体"/>
          <w:sz w:val="28"/>
          <w:szCs w:val="28"/>
          <w:highlight w:val="none"/>
        </w:rPr>
        <w:t>专业教师分批赴比亚迪参加新车型技术培训和技师认证，企业则派遣</w:t>
      </w:r>
      <w:r>
        <w:rPr>
          <w:rFonts w:hint="eastAsia" w:ascii="宋体" w:hAnsi="宋体" w:cs="宋体"/>
          <w:sz w:val="28"/>
          <w:szCs w:val="28"/>
          <w:highlight w:val="none"/>
          <w:lang w:val="en-US" w:eastAsia="zh-CN"/>
        </w:rPr>
        <w:t>3名</w:t>
      </w:r>
      <w:r>
        <w:rPr>
          <w:rFonts w:hint="eastAsia" w:ascii="宋体" w:hAnsi="宋体" w:eastAsia="宋体" w:cs="宋体"/>
          <w:sz w:val="28"/>
          <w:szCs w:val="28"/>
          <w:highlight w:val="none"/>
        </w:rPr>
        <w:t>技术骨干担任产业导师，与学校教师共同承担实训教学、技能竞赛指导和课程资源更新任务。双方通过集体备课、同步评课、跟岗实践等方式，不断提升教师队伍对新技术的敏感度和教学转化能力，使教学内容更加贴近企业实际。</w:t>
      </w:r>
    </w:p>
    <w:p w14:paraId="24B245C9">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 xml:space="preserve"> 4、实训条件</w:t>
      </w:r>
    </w:p>
    <w:p w14:paraId="662C08BC">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实训基地在原有基础上引入了多款在产车型、电池包和诊断设备，并按照企业6S管理和数据追溯流程进行重新布局，形成了集教学、生产、培训于一体的综合环境。基地内设置了多个理实一体化学岛，能够同时开展电池维护、电机检测、整车故障分析等实训项目。学生在真实的生产节奏和规范要求下进行训练，有效提升了操作熟练度和质量意识。</w:t>
      </w:r>
    </w:p>
    <w:p w14:paraId="4257F089">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 xml:space="preserve"> 5、质量改进</w:t>
      </w:r>
    </w:p>
    <w:p w14:paraId="42B38240">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质量保障方面，双方共同构建了“课程-证书-岗位”闭环评价机制。学生完成每个模块的学习后，可参加对应级别的企业认证，通过情况直接作为课程效果的重要参考。企业定期向学校反馈售后故障数据和市场技术变化，课程组据此调整教学侧重点，缩短内容更新周期。通过这一机制，专业培养方案能够持续优化，确保人才培养与岗位需求保持动态匹配。</w:t>
      </w:r>
    </w:p>
    <w:p w14:paraId="7B9899DA">
      <w:pPr>
        <w:pStyle w:val="44"/>
        <w:ind w:firstLine="562" w:firstLineChars="200"/>
        <w:rPr>
          <w:rFonts w:hint="eastAsia" w:ascii="宋体" w:hAnsi="宋体" w:eastAsia="宋体" w:cs="宋体"/>
          <w:sz w:val="28"/>
          <w:szCs w:val="28"/>
          <w:highlight w:val="none"/>
          <w:lang w:val="zh-CN"/>
        </w:rPr>
      </w:pPr>
      <w:bookmarkStart w:id="9" w:name="_Toc29213"/>
      <w:bookmarkStart w:id="10" w:name="_Toc2306"/>
      <w:r>
        <w:rPr>
          <w:rFonts w:hint="eastAsia" w:ascii="宋体" w:hAnsi="宋体" w:eastAsia="宋体" w:cs="宋体"/>
          <w:sz w:val="28"/>
          <w:szCs w:val="28"/>
          <w:highlight w:val="none"/>
          <w:lang w:val="zh-CN"/>
        </w:rPr>
        <w:t>（</w:t>
      </w:r>
      <w:r>
        <w:rPr>
          <w:rFonts w:hint="eastAsia" w:ascii="宋体" w:hAnsi="宋体" w:eastAsia="宋体" w:cs="宋体"/>
          <w:sz w:val="28"/>
          <w:szCs w:val="28"/>
          <w:highlight w:val="none"/>
        </w:rPr>
        <w:t>二</w:t>
      </w:r>
      <w:r>
        <w:rPr>
          <w:rFonts w:hint="eastAsia" w:ascii="宋体" w:hAnsi="宋体" w:eastAsia="宋体" w:cs="宋体"/>
          <w:sz w:val="28"/>
          <w:szCs w:val="28"/>
          <w:highlight w:val="none"/>
          <w:lang w:val="zh-CN"/>
        </w:rPr>
        <w:t>）学生培养</w:t>
      </w:r>
      <w:bookmarkEnd w:id="9"/>
      <w:bookmarkEnd w:id="10"/>
    </w:p>
    <w:p w14:paraId="285340C6">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校方根据教学计划和人才培养方案，每年选派一定数量的指定年级、专业的学生到相关合作企业进行顶岗实习，具体人数根据相关合作企业岗位需求、校方学生情况等因素，由校企双方协商决定。</w:t>
      </w:r>
    </w:p>
    <w:p w14:paraId="1CE8BA15">
      <w:pPr>
        <w:pStyle w:val="46"/>
        <w:rPr>
          <w:rFonts w:hint="eastAsia" w:ascii="宋体" w:hAnsi="宋体" w:eastAsia="宋体" w:cs="宋体"/>
          <w:sz w:val="28"/>
          <w:szCs w:val="28"/>
          <w:highlight w:val="none"/>
        </w:rPr>
      </w:pPr>
      <w:r>
        <w:rPr>
          <w:rFonts w:hint="eastAsia" w:ascii="宋体" w:hAnsi="宋体" w:eastAsia="宋体" w:cs="宋体"/>
          <w:sz w:val="28"/>
          <w:szCs w:val="28"/>
          <w:highlight w:val="none"/>
        </w:rPr>
        <w:t>企业指派专门技术人员担任实习指导教师，原则上每3名学生配备1名实习指导人员，采用原始“师傅带徒弟”模式传授。</w:t>
      </w:r>
    </w:p>
    <w:p w14:paraId="27377C6A">
      <w:pPr>
        <w:pStyle w:val="46"/>
        <w:ind w:firstLine="480"/>
        <w:rPr>
          <w:rFonts w:hint="eastAsia" w:ascii="宋体" w:hAnsi="宋体" w:eastAsia="宋体" w:cs="宋体"/>
          <w:sz w:val="28"/>
          <w:szCs w:val="28"/>
          <w:highlight w:val="none"/>
        </w:rPr>
      </w:pPr>
      <w:r>
        <w:rPr>
          <w:rFonts w:hint="eastAsia" w:ascii="宋体" w:hAnsi="宋体" w:cs="宋体"/>
          <w:sz w:val="28"/>
          <w:szCs w:val="28"/>
          <w:highlight w:val="none"/>
          <w:lang w:val="en-US" w:eastAsia="zh-CN"/>
        </w:rPr>
        <w:t>校企</w:t>
      </w:r>
      <w:r>
        <w:rPr>
          <w:rFonts w:hint="eastAsia" w:ascii="宋体" w:hAnsi="宋体" w:eastAsia="宋体" w:cs="宋体"/>
          <w:sz w:val="28"/>
          <w:szCs w:val="28"/>
          <w:highlight w:val="none"/>
        </w:rPr>
        <w:t>积极开展实习、就业紧密合作，探讨如何更好提高毕业生实习质量，提高毕业生就业率。过去一学年，常州比亚迪汽车有限公司结合公司业务发展情况，接收</w:t>
      </w:r>
      <w:r>
        <w:rPr>
          <w:rFonts w:hint="eastAsia" w:ascii="宋体" w:hAnsi="宋体" w:cs="宋体"/>
          <w:sz w:val="28"/>
          <w:szCs w:val="28"/>
          <w:highlight w:val="none"/>
          <w:lang w:val="en-US" w:eastAsia="zh-CN"/>
        </w:rPr>
        <w:t>了我校62名</w:t>
      </w:r>
      <w:r>
        <w:rPr>
          <w:rFonts w:hint="eastAsia" w:ascii="宋体" w:hAnsi="宋体" w:eastAsia="宋体" w:cs="宋体"/>
          <w:sz w:val="28"/>
          <w:szCs w:val="28"/>
          <w:highlight w:val="none"/>
        </w:rPr>
        <w:t>毕业生顶岗实习。对于顶岗或实习期间表现优异学生，相关合作企业优先给予接纳。同时，顶岗实习期可冲抵公司试用期。</w:t>
      </w:r>
    </w:p>
    <w:p w14:paraId="0E98DBB3">
      <w:pPr>
        <w:tabs>
          <w:tab w:val="left" w:pos="4997"/>
        </w:tabs>
        <w:spacing w:after="0" w:line="360" w:lineRule="auto"/>
        <w:jc w:val="both"/>
        <w:rPr>
          <w:rFonts w:hint="eastAsia" w:ascii="宋体" w:hAnsi="宋体" w:eastAsia="宋体" w:cs="宋体"/>
          <w:sz w:val="28"/>
          <w:szCs w:val="28"/>
          <w:highlight w:val="none"/>
          <w:lang w:val="en-US" w:eastAsia="zh-CN"/>
          <w14:ligatures w14:val="none"/>
        </w:rPr>
      </w:pPr>
      <w:r>
        <w:rPr>
          <w:rFonts w:hint="eastAsia" w:ascii="宋体" w:hAnsi="宋体" w:eastAsia="宋体" w:cs="宋体"/>
          <w:sz w:val="28"/>
          <w:szCs w:val="28"/>
          <w:highlight w:val="none"/>
        </w:rPr>
        <w:drawing>
          <wp:inline distT="0" distB="0" distL="114300" distR="114300">
            <wp:extent cx="2573020" cy="1932305"/>
            <wp:effectExtent l="0" t="0" r="2540" b="317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3"/>
                    <a:stretch>
                      <a:fillRect/>
                    </a:stretch>
                  </pic:blipFill>
                  <pic:spPr>
                    <a:xfrm>
                      <a:off x="0" y="0"/>
                      <a:ext cx="2573020" cy="1932305"/>
                    </a:xfrm>
                    <a:prstGeom prst="rect">
                      <a:avLst/>
                    </a:prstGeom>
                    <a:noFill/>
                    <a:ln w="9525">
                      <a:noFill/>
                    </a:ln>
                  </pic:spPr>
                </pic:pic>
              </a:graphicData>
            </a:graphic>
          </wp:inline>
        </w:drawing>
      </w:r>
      <w:r>
        <w:rPr>
          <w:rFonts w:hint="eastAsia" w:ascii="宋体" w:hAnsi="宋体" w:eastAsia="宋体" w:cs="宋体"/>
          <w:sz w:val="28"/>
          <w:szCs w:val="28"/>
          <w:highlight w:val="none"/>
          <w:lang w:val="en-US" w:eastAsia="zh-CN"/>
        </w:rPr>
        <w:t xml:space="preserve"> </w:t>
      </w:r>
      <w:r>
        <w:rPr>
          <w:rFonts w:hint="eastAsia" w:ascii="宋体" w:hAnsi="宋体" w:eastAsia="宋体" w:cs="宋体"/>
          <w:sz w:val="28"/>
          <w:szCs w:val="28"/>
          <w:highlight w:val="none"/>
        </w:rPr>
        <w:drawing>
          <wp:inline distT="0" distB="0" distL="114300" distR="114300">
            <wp:extent cx="2581910" cy="1936750"/>
            <wp:effectExtent l="0" t="0" r="8890" b="1397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4"/>
                    <a:stretch>
                      <a:fillRect/>
                    </a:stretch>
                  </pic:blipFill>
                  <pic:spPr>
                    <a:xfrm>
                      <a:off x="0" y="0"/>
                      <a:ext cx="2581910" cy="1936750"/>
                    </a:xfrm>
                    <a:prstGeom prst="rect">
                      <a:avLst/>
                    </a:prstGeom>
                    <a:noFill/>
                    <a:ln w="9525">
                      <a:noFill/>
                    </a:ln>
                  </pic:spPr>
                </pic:pic>
              </a:graphicData>
            </a:graphic>
          </wp:inline>
        </w:drawing>
      </w:r>
    </w:p>
    <w:p w14:paraId="16ACBE9C">
      <w:pPr>
        <w:tabs>
          <w:tab w:val="left" w:pos="4997"/>
        </w:tabs>
        <w:spacing w:after="0" w:line="360" w:lineRule="auto"/>
        <w:rPr>
          <w:rFonts w:hint="eastAsia" w:ascii="宋体" w:hAnsi="宋体" w:eastAsia="宋体" w:cs="宋体"/>
          <w:sz w:val="28"/>
          <w:szCs w:val="28"/>
          <w:highlight w:val="none"/>
          <w14:ligatures w14:val="none"/>
        </w:rPr>
      </w:pPr>
      <w:r>
        <w:rPr>
          <w:rFonts w:hint="eastAsia" w:ascii="宋体" w:hAnsi="宋体" w:eastAsia="宋体" w:cs="宋体"/>
          <w:sz w:val="28"/>
          <w:szCs w:val="28"/>
          <w:highlight w:val="none"/>
          <w14:ligatures w14:val="none"/>
        </w:rPr>
        <w:tab/>
      </w:r>
    </w:p>
    <w:p w14:paraId="7C1920D0">
      <w:pPr>
        <w:pStyle w:val="44"/>
        <w:ind w:firstLine="562" w:firstLineChars="200"/>
        <w:rPr>
          <w:rFonts w:hint="eastAsia" w:ascii="宋体" w:hAnsi="宋体" w:eastAsia="宋体" w:cs="宋体"/>
          <w:sz w:val="28"/>
          <w:szCs w:val="28"/>
          <w:highlight w:val="none"/>
        </w:rPr>
      </w:pPr>
      <w:bookmarkStart w:id="11" w:name="_Toc13276"/>
      <w:bookmarkStart w:id="12" w:name="_Toc13512"/>
      <w:r>
        <w:rPr>
          <w:rFonts w:hint="eastAsia" w:ascii="宋体" w:hAnsi="宋体" w:eastAsia="宋体" w:cs="宋体"/>
          <w:sz w:val="28"/>
          <w:szCs w:val="28"/>
          <w:highlight w:val="none"/>
          <w:lang w:val="zh-CN"/>
        </w:rPr>
        <w:t>（</w:t>
      </w:r>
      <w:r>
        <w:rPr>
          <w:rFonts w:hint="eastAsia" w:ascii="宋体" w:hAnsi="宋体" w:eastAsia="宋体" w:cs="宋体"/>
          <w:sz w:val="28"/>
          <w:szCs w:val="28"/>
          <w:highlight w:val="none"/>
        </w:rPr>
        <w:t>三</w:t>
      </w:r>
      <w:r>
        <w:rPr>
          <w:rFonts w:hint="eastAsia" w:ascii="宋体" w:hAnsi="宋体" w:eastAsia="宋体" w:cs="宋体"/>
          <w:sz w:val="28"/>
          <w:szCs w:val="28"/>
          <w:highlight w:val="none"/>
          <w:lang w:val="zh-CN"/>
        </w:rPr>
        <w:t>）师资队伍</w:t>
      </w:r>
      <w:r>
        <w:rPr>
          <w:rFonts w:hint="eastAsia" w:ascii="宋体" w:hAnsi="宋体" w:eastAsia="宋体" w:cs="宋体"/>
          <w:sz w:val="28"/>
          <w:szCs w:val="28"/>
          <w:highlight w:val="none"/>
        </w:rPr>
        <w:t>建设</w:t>
      </w:r>
      <w:bookmarkEnd w:id="11"/>
      <w:bookmarkEnd w:id="12"/>
    </w:p>
    <w:p w14:paraId="6B0CC9F7">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学院每年定期派遣</w:t>
      </w:r>
      <w:r>
        <w:rPr>
          <w:rFonts w:hint="eastAsia" w:ascii="宋体" w:hAnsi="宋体" w:cs="宋体"/>
          <w:sz w:val="28"/>
          <w:szCs w:val="28"/>
          <w:highlight w:val="none"/>
          <w:lang w:val="en-US" w:eastAsia="zh-CN"/>
        </w:rPr>
        <w:t>1-3名</w:t>
      </w:r>
      <w:r>
        <w:rPr>
          <w:rFonts w:hint="eastAsia" w:ascii="宋体" w:hAnsi="宋体" w:eastAsia="宋体" w:cs="宋体"/>
          <w:sz w:val="28"/>
          <w:szCs w:val="28"/>
          <w:highlight w:val="none"/>
        </w:rPr>
        <w:t>专业骨干教师到常州比亚迪汽车有限公司进行挂职锻炼。参与相关岗位的专业培训，教师的技术技能得到了较大</w:t>
      </w:r>
      <w:r>
        <w:rPr>
          <w:rFonts w:hint="eastAsia" w:ascii="宋体" w:hAnsi="宋体" w:cs="宋体"/>
          <w:sz w:val="28"/>
          <w:szCs w:val="28"/>
          <w:highlight w:val="none"/>
          <w:lang w:eastAsia="zh-CN"/>
        </w:rPr>
        <w:t>地</w:t>
      </w:r>
      <w:r>
        <w:rPr>
          <w:rFonts w:hint="eastAsia" w:ascii="宋体" w:hAnsi="宋体" w:eastAsia="宋体" w:cs="宋体"/>
          <w:sz w:val="28"/>
          <w:szCs w:val="28"/>
          <w:highlight w:val="none"/>
        </w:rPr>
        <w:t>提升，在一定程度上完善了双师型教师队伍。</w:t>
      </w:r>
    </w:p>
    <w:p w14:paraId="29B93C11">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学院聘请企业</w:t>
      </w:r>
      <w:r>
        <w:rPr>
          <w:rFonts w:hint="eastAsia" w:ascii="宋体" w:hAnsi="宋体" w:cs="宋体"/>
          <w:sz w:val="28"/>
          <w:szCs w:val="28"/>
          <w:highlight w:val="none"/>
          <w:lang w:val="en-US" w:eastAsia="zh-CN"/>
        </w:rPr>
        <w:t>新能源汽车装配、检修领域</w:t>
      </w:r>
      <w:r>
        <w:rPr>
          <w:rFonts w:hint="eastAsia" w:ascii="宋体" w:hAnsi="宋体" w:eastAsia="宋体" w:cs="宋体"/>
          <w:sz w:val="28"/>
          <w:szCs w:val="28"/>
          <w:highlight w:val="none"/>
        </w:rPr>
        <w:t>的高级技术人员、管理人员等具有丰富实践经验的技术骨干作为学院的兼职教师，独自承担或者与学院教师共同承担部分实验实训课程、学生技能鉴定、技能竞赛辅导等工作。授课期间，采用原始“师傅带徒弟”模式传授，将累积的丰富实践经验教授给学生，同时也提升了我院教师的专业素养和技能水平。</w:t>
      </w:r>
    </w:p>
    <w:p w14:paraId="706E7E44">
      <w:pPr>
        <w:pStyle w:val="46"/>
        <w:ind w:left="0" w:leftChars="0" w:firstLine="0" w:firstLineChars="0"/>
        <w:jc w:val="center"/>
        <w:rPr>
          <w:rFonts w:hint="eastAsia" w:ascii="宋体" w:hAnsi="宋体" w:eastAsia="宋体" w:cs="宋体"/>
          <w:sz w:val="28"/>
          <w:szCs w:val="28"/>
          <w:highlight w:val="none"/>
        </w:rPr>
      </w:pPr>
      <w:r>
        <w:rPr>
          <w:rFonts w:hint="eastAsia" w:ascii="宋体" w:hAnsi="宋体" w:eastAsia="宋体" w:cs="宋体"/>
          <w:sz w:val="28"/>
          <w:szCs w:val="28"/>
          <w:highlight w:val="none"/>
        </w:rPr>
        <w:drawing>
          <wp:inline distT="0" distB="0" distL="114300" distR="114300">
            <wp:extent cx="3645535" cy="2235835"/>
            <wp:effectExtent l="0" t="0" r="12065" b="1206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5"/>
                    <a:srcRect t="18226"/>
                    <a:stretch>
                      <a:fillRect/>
                    </a:stretch>
                  </pic:blipFill>
                  <pic:spPr>
                    <a:xfrm>
                      <a:off x="0" y="0"/>
                      <a:ext cx="3645535" cy="2235835"/>
                    </a:xfrm>
                    <a:prstGeom prst="rect">
                      <a:avLst/>
                    </a:prstGeom>
                    <a:noFill/>
                    <a:ln w="9525">
                      <a:noFill/>
                    </a:ln>
                  </pic:spPr>
                </pic:pic>
              </a:graphicData>
            </a:graphic>
          </wp:inline>
        </w:drawing>
      </w:r>
    </w:p>
    <w:p w14:paraId="40EB3154">
      <w:pPr>
        <w:pStyle w:val="43"/>
        <w:ind w:firstLine="560" w:firstLineChars="200"/>
        <w:rPr>
          <w:rFonts w:hint="eastAsia" w:ascii="黑体" w:hAnsi="黑体" w:eastAsia="黑体" w:cs="黑体"/>
          <w:b w:val="0"/>
          <w:bCs/>
          <w:sz w:val="28"/>
          <w:szCs w:val="28"/>
          <w:highlight w:val="none"/>
          <w:lang w:val="en-US" w:eastAsia="zh-CN"/>
          <w14:ligatures w14:val="none"/>
        </w:rPr>
      </w:pPr>
      <w:bookmarkStart w:id="13" w:name="_Toc30111"/>
      <w:bookmarkStart w:id="14" w:name="_Toc4629"/>
      <w:r>
        <w:rPr>
          <w:rFonts w:hint="eastAsia" w:ascii="黑体" w:hAnsi="黑体" w:eastAsia="黑体" w:cs="黑体"/>
          <w:b w:val="0"/>
          <w:bCs/>
          <w:sz w:val="28"/>
          <w:szCs w:val="28"/>
          <w:highlight w:val="none"/>
          <w:lang w:val="en-US" w:eastAsia="zh-CN"/>
          <w14:ligatures w14:val="none"/>
        </w:rPr>
        <w:t>五、助推企业发展</w:t>
      </w:r>
      <w:bookmarkEnd w:id="13"/>
      <w:bookmarkEnd w:id="14"/>
    </w:p>
    <w:p w14:paraId="19D0345E">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在我国市场经济持续完善、新能源汽车产业加速崛起的背景下，市场对资源配置的主导作用日益凸显。高职院校作为技术技能人才培养的主阵地，与行业龙头企业开展深度校企合作，是职业教育适应市场需求的必然选择，更是实现校企双赢、助推产业升级的关键路径。</w:t>
      </w:r>
    </w:p>
    <w:p w14:paraId="6375AD3F">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我校聚焦新能源汽车专业特色，以产学研结合为核心，与常州比亚迪展开全方位合作，从人才供给、技术创新、职工培训等维度精准发力，为企业高质量发展注入强劲动能。人才是企业发展的核心支撑，我校紧扣常州比亚迪岗位需求，构建定制化人才培养体系。推行“工人进课堂、教师进企业”双向共建模式：邀请企业技术骨干担任兼职教师，将新能源汽车最新生产工艺、技术标准融入课堂；选派专业教师到企业顶岗实践，参与电池组装、电机调试等核心工作，把实践经验转化为教学资源。校外将企业生产车间作为实习基地，让学生分阶段参与生产，实现从“校园人”到“企业人”的无缝衔接，每年为企业输送大批高素质技术技能人才，缓解人才短缺压力。校内定期举办技术研讨会，邀请专家学者与企业技术人员共探行业前沿，推动科研成果转化落地，助力企业提升产品核心竞争力。职业教育与企业职工培训目标同向，我校依托新能源汽车专业资源，为常州比亚迪汽车有限公司搭建多元化职工技能提升平台。针对新入职员工开展岗前培训，涵盖基础知识、操作规范等内容，帮助其快速适应岗位；为在职职工开设技能提升培训班，围绕新技术应用、设备操作等主题，采用“线上+线下”“理论+实操”模式开展培训，年均培训职工200余名。系统的培训不仅提升了企业职工的技能水平与职业竞争力，为企业技术升级提供人才保障，更加深了双方合作默契，为后续深度合作奠定坚实基础。</w:t>
      </w:r>
    </w:p>
    <w:p w14:paraId="34844572">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校企合作是职业教育发展的必由之路，也是企业高质量发展的重要支撑。我校与常州比亚迪汽车有限公司的合作，以双赢为目标，实现了人才培养、技术创新、职工提升的多方赋能。未来，双方将继续拓展合作领域、创新合作模式，推动校企协同向更高水平迈进，共同为新能源汽车产业发展、区域经济升级贡献力量。</w:t>
      </w:r>
    </w:p>
    <w:p w14:paraId="771E1836">
      <w:pPr>
        <w:pStyle w:val="43"/>
        <w:ind w:firstLine="560" w:firstLineChars="200"/>
        <w:rPr>
          <w:rFonts w:hint="eastAsia" w:ascii="黑体" w:hAnsi="黑体" w:eastAsia="黑体" w:cs="黑体"/>
          <w:b w:val="0"/>
          <w:bCs/>
          <w:sz w:val="28"/>
          <w:szCs w:val="28"/>
          <w:highlight w:val="none"/>
          <w:lang w:val="en-US" w:eastAsia="zh-CN"/>
          <w14:ligatures w14:val="none"/>
        </w:rPr>
      </w:pPr>
      <w:bookmarkStart w:id="15" w:name="_Toc17028"/>
      <w:bookmarkStart w:id="16" w:name="_Toc32582"/>
      <w:r>
        <w:rPr>
          <w:rFonts w:hint="eastAsia" w:ascii="黑体" w:hAnsi="黑体" w:eastAsia="黑体" w:cs="黑体"/>
          <w:b w:val="0"/>
          <w:bCs/>
          <w:sz w:val="28"/>
          <w:szCs w:val="28"/>
          <w:highlight w:val="none"/>
          <w:lang w:val="en-US" w:eastAsia="zh-CN"/>
          <w14:ligatures w14:val="none"/>
        </w:rPr>
        <w:t>六、服务地方</w:t>
      </w:r>
      <w:bookmarkEnd w:id="15"/>
      <w:bookmarkEnd w:id="16"/>
    </w:p>
    <w:p w14:paraId="5893B837">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汽车工程学院长期围绕江苏省汽车和装备制造业基地产业优势，校企共同开发江苏省尤其是苏南地区的汽车后市场，为</w:t>
      </w:r>
      <w:r>
        <w:rPr>
          <w:rFonts w:hint="eastAsia" w:ascii="宋体" w:hAnsi="宋体" w:cs="宋体"/>
          <w:color w:val="333333"/>
          <w:sz w:val="28"/>
          <w:szCs w:val="28"/>
          <w:highlight w:val="none"/>
          <w:lang w:val="en-US" w:eastAsia="zh-CN"/>
        </w:rPr>
        <w:t>比亚迪汽车有限公司</w:t>
      </w:r>
      <w:r>
        <w:rPr>
          <w:rFonts w:hint="eastAsia" w:ascii="宋体" w:hAnsi="宋体" w:eastAsia="宋体" w:cs="宋体"/>
          <w:sz w:val="28"/>
          <w:szCs w:val="28"/>
          <w:highlight w:val="none"/>
        </w:rPr>
        <w:t>提供培训、技术支持、项目开发等服务。校企共建实训基地，为政府分忧解难，为更多的高等、中等职业教育及学生和待业人员创造实习、培训、就业机会和理想岗位。近年来学校的知名度逐渐提升，与企业特别是行业头部企业进行了密切合作，一步紧密对接产业需求，深化教育教学改革，强化实用型人才的培养。同时学历教育与非学历教育双管齐下，长期教育与短期培训功能齐全，为服务无锡地方经济发展，构建和谐稳定的社会培养出更多人才。</w:t>
      </w:r>
    </w:p>
    <w:p w14:paraId="360F05B3">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在我省大力推广新能源汽车应用过程中，学院积极适应配套的新能源汽车维修行业发展需求，整合我省汽车维修行业研究资源和技术力量，集公益性、基础性、实用性、开放性于一体，依托我校成立了江苏省新能源</w:t>
      </w:r>
      <w:r>
        <w:rPr>
          <w:rFonts w:hint="eastAsia" w:ascii="宋体" w:hAnsi="宋体" w:cs="宋体"/>
          <w:sz w:val="28"/>
          <w:szCs w:val="28"/>
          <w:highlight w:val="none"/>
          <w:lang w:val="en-US" w:eastAsia="zh-CN"/>
        </w:rPr>
        <w:t>汽车检测与维修技术</w:t>
      </w:r>
      <w:r>
        <w:rPr>
          <w:rFonts w:hint="eastAsia" w:ascii="宋体" w:hAnsi="宋体" w:eastAsia="宋体" w:cs="宋体"/>
          <w:sz w:val="28"/>
          <w:szCs w:val="28"/>
          <w:highlight w:val="none"/>
        </w:rPr>
        <w:t>中心，主要为新能源汽车维修行业政策法规、标准规范、技术研发、人才培训等提供服务。</w:t>
      </w:r>
    </w:p>
    <w:p w14:paraId="795A7732">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学院积极参加全国汽车行指委职业教育活动周，成为职业素养教育公益教学点，旨在通过公益合作提升职业院校学生职业素养教育水平，通过主动融入区域职教联盟，助力构建“产教协同、德技并修”的现代职教体系，为服务交通强国战略和地方区域经济高质量发展提供坚实人才支撑。</w:t>
      </w:r>
    </w:p>
    <w:p w14:paraId="2F67F4EE">
      <w:pPr>
        <w:pStyle w:val="43"/>
        <w:ind w:firstLine="560" w:firstLineChars="200"/>
        <w:rPr>
          <w:rFonts w:hint="eastAsia" w:ascii="黑体" w:hAnsi="黑体" w:eastAsia="黑体" w:cs="黑体"/>
          <w:b w:val="0"/>
          <w:bCs/>
          <w:sz w:val="28"/>
          <w:szCs w:val="28"/>
          <w:highlight w:val="none"/>
          <w:lang w:val="zh-CN" w:eastAsia="zh-CN"/>
          <w14:ligatures w14:val="none"/>
        </w:rPr>
      </w:pPr>
      <w:bookmarkStart w:id="17" w:name="_Toc29593"/>
      <w:bookmarkStart w:id="18" w:name="_Toc28598"/>
      <w:r>
        <w:rPr>
          <w:rFonts w:hint="eastAsia" w:ascii="黑体" w:hAnsi="黑体" w:eastAsia="黑体" w:cs="黑体"/>
          <w:b w:val="0"/>
          <w:bCs/>
          <w:sz w:val="28"/>
          <w:szCs w:val="28"/>
          <w:highlight w:val="none"/>
          <w:lang w:val="en-US" w:eastAsia="zh-CN"/>
          <w14:ligatures w14:val="none"/>
        </w:rPr>
        <w:t>七</w:t>
      </w:r>
      <w:r>
        <w:rPr>
          <w:rFonts w:hint="eastAsia" w:ascii="黑体" w:hAnsi="黑体" w:eastAsia="黑体" w:cs="黑体"/>
          <w:b w:val="0"/>
          <w:bCs/>
          <w:sz w:val="28"/>
          <w:szCs w:val="28"/>
          <w:highlight w:val="none"/>
          <w:lang w:val="zh-CN" w:eastAsia="zh-CN"/>
          <w14:ligatures w14:val="none"/>
        </w:rPr>
        <w:t>、保障体系</w:t>
      </w:r>
      <w:bookmarkEnd w:id="17"/>
      <w:bookmarkEnd w:id="18"/>
    </w:p>
    <w:p w14:paraId="285546AD">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学院在扎实推进深度校企融合的过程中，非常重视构建校企合作的长效机制，校企双方专人联络，定期沟通，信息互联互通，</w:t>
      </w:r>
      <w:r>
        <w:rPr>
          <w:rFonts w:hint="eastAsia" w:ascii="宋体" w:hAnsi="宋体" w:cs="宋体"/>
          <w:sz w:val="28"/>
          <w:szCs w:val="28"/>
          <w:highlight w:val="none"/>
          <w:lang w:val="en-US" w:eastAsia="zh-CN"/>
        </w:rPr>
        <w:t>建立</w:t>
      </w:r>
      <w:r>
        <w:rPr>
          <w:rFonts w:hint="eastAsia" w:ascii="宋体" w:hAnsi="宋体" w:eastAsia="宋体" w:cs="宋体"/>
          <w:sz w:val="28"/>
          <w:szCs w:val="28"/>
          <w:highlight w:val="none"/>
        </w:rPr>
        <w:t>有日常性的联络制度和具有各自特色的合作规则。对于校企合作服务地方经济社会发展工作，</w:t>
      </w:r>
      <w:r>
        <w:rPr>
          <w:rFonts w:hint="eastAsia" w:ascii="宋体" w:hAnsi="宋体" w:cs="宋体"/>
          <w:sz w:val="28"/>
          <w:szCs w:val="28"/>
          <w:highlight w:val="none"/>
          <w:lang w:val="en-US" w:eastAsia="zh-CN"/>
        </w:rPr>
        <w:t>院部</w:t>
      </w:r>
      <w:r>
        <w:rPr>
          <w:rFonts w:hint="eastAsia" w:ascii="宋体" w:hAnsi="宋体" w:eastAsia="宋体" w:cs="宋体"/>
          <w:sz w:val="28"/>
          <w:szCs w:val="28"/>
          <w:highlight w:val="none"/>
        </w:rPr>
        <w:t>采取较为科学严格的项目管理，对项目的论证、立项、决策、规划、执行、变化管理、评价等各个环节都建立了职责明确、责任到人、分工合作、目标清晰地工作推进台账展，保证了各项工作措施得力，进度扎实，取得实效。</w:t>
      </w:r>
    </w:p>
    <w:p w14:paraId="6A85319D">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1）健全校企合作组织机构。成立由学校领导及各部门主要负责人组成的“校企合作指导委员会”，全面指导协调校企合作各项工作。各系、部由一名领导具体分管校企合作工作，并配备一名专(兼)职校企合作联络员，负责校企合作工作的开展。</w:t>
      </w:r>
    </w:p>
    <w:p w14:paraId="12CD3AEA">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2）合作双方签订协议，明确职责，规范双方的行为。学校保证人才培养质量，保证企业用人的优选权，为企业提供培训、技术等方面的支持。企业保证在设备、场地等条件上的支持及人员的支持，保证学生实训任务的安排。</w:t>
      </w:r>
    </w:p>
    <w:p w14:paraId="6659E58B">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3）学校和各院部制定的年度工作计划中，必须把校企合作工作放在重要位置，年度工作总结要体现校企合作工作。校企合作将作为每年考核各系、部工作业绩的重要指标，根据各院部校企合作开展的情况和效果，每年评选2-3个院部为校企合作工作优秀单位，评选5-10名教师为校企合作工作优秀工作者，重点评选校企合作完成的研发项目，学校将给予相应的物质和精神奖励。校企合作、工学结合工作不突出的单位不得参加全校的先进单位评选。</w:t>
      </w:r>
    </w:p>
    <w:p w14:paraId="21C7EABA">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（4）安排专任教师常驻校企合作单位，协调开展教育教学实践活动，深化校企合作。学院派遣优秀教师到常州比亚迪汽车有限公司下企锻炼，协调处理校企合作具体事务，帮助学生尽快适应角色转换。</w:t>
      </w:r>
    </w:p>
    <w:p w14:paraId="4BD3EF18">
      <w:pPr>
        <w:pStyle w:val="43"/>
        <w:ind w:firstLine="560" w:firstLineChars="200"/>
        <w:rPr>
          <w:rFonts w:hint="eastAsia" w:ascii="黑体" w:hAnsi="黑体" w:eastAsia="黑体" w:cs="黑体"/>
          <w:b w:val="0"/>
          <w:bCs/>
          <w:sz w:val="28"/>
          <w:szCs w:val="28"/>
          <w:highlight w:val="none"/>
          <w:lang w:val="en-US" w:eastAsia="zh-CN"/>
          <w14:ligatures w14:val="none"/>
        </w:rPr>
      </w:pPr>
      <w:bookmarkStart w:id="19" w:name="_Toc16737"/>
      <w:bookmarkStart w:id="20" w:name="_Toc3375"/>
      <w:r>
        <w:rPr>
          <w:rFonts w:hint="eastAsia" w:ascii="黑体" w:hAnsi="黑体" w:eastAsia="黑体" w:cs="黑体"/>
          <w:b w:val="0"/>
          <w:bCs/>
          <w:sz w:val="28"/>
          <w:szCs w:val="28"/>
          <w:highlight w:val="none"/>
          <w:lang w:val="en-US" w:eastAsia="zh-CN"/>
          <w14:ligatures w14:val="none"/>
        </w:rPr>
        <w:t>八、问题与展望</w:t>
      </w:r>
      <w:bookmarkEnd w:id="19"/>
      <w:bookmarkEnd w:id="20"/>
    </w:p>
    <w:p w14:paraId="5BA60585">
      <w:pPr>
        <w:keepNext w:val="0"/>
        <w:keepLines w:val="0"/>
        <w:pageBreakBefore w:val="0"/>
        <w:widowControl/>
        <w:suppressLineNumbers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b w:val="0"/>
          <w:color w:val="000000" w:themeColor="text1"/>
          <w:kern w:val="2"/>
          <w:sz w:val="28"/>
          <w:szCs w:val="28"/>
          <w:highlight w:val="none"/>
          <w:lang w:val="en-US" w:eastAsia="zh-CN" w:bidi="ar-SA"/>
          <w14:textFill>
            <w14:solidFill>
              <w14:schemeClr w14:val="tx1"/>
            </w14:solidFill>
          </w14:textFill>
          <w14:ligatures w14:val="standardContextual"/>
        </w:rPr>
      </w:pPr>
      <w:bookmarkStart w:id="21" w:name="_Toc31860"/>
      <w:r>
        <w:rPr>
          <w:rFonts w:hint="eastAsia" w:ascii="宋体" w:hAnsi="宋体" w:eastAsia="宋体" w:cs="宋体"/>
          <w:sz w:val="28"/>
          <w:szCs w:val="28"/>
          <w:highlight w:val="none"/>
        </w:rPr>
        <w:t>常州比亚迪汽车有限公司</w:t>
      </w:r>
      <w:r>
        <w:rPr>
          <w:rFonts w:hint="eastAsia" w:ascii="宋体" w:hAnsi="宋体" w:eastAsia="宋体" w:cs="宋体"/>
          <w:b w:val="0"/>
          <w:color w:val="000000" w:themeColor="text1"/>
          <w:kern w:val="2"/>
          <w:sz w:val="28"/>
          <w:szCs w:val="28"/>
          <w:highlight w:val="none"/>
          <w:lang w:val="en-US" w:eastAsia="zh-CN" w:bidi="ar-SA"/>
          <w14:textFill>
            <w14:solidFill>
              <w14:schemeClr w14:val="tx1"/>
            </w14:solidFill>
          </w14:textFill>
          <w14:ligatures w14:val="standardContextual"/>
        </w:rPr>
        <w:t>与无锡交通分院的校企合作虽已积累初步成果，但在合作深度、广度及长效性上仍有巨大提升空间。为推动双方从浅中层合作迈向技术共生、产业联动、管理协同的深层次合作，率先打造新能源汽车领域校企合作标杆，首要任务便是强化政策引导，以政策为纲、以机制为目，构建全方位保障体系。具体可从以下几方面推进：</w:t>
      </w:r>
    </w:p>
    <w:p w14:paraId="1C88536C">
      <w:pPr>
        <w:pStyle w:val="44"/>
        <w:ind w:firstLine="562" w:firstLineChars="200"/>
        <w:rPr>
          <w:rFonts w:hint="eastAsia" w:ascii="宋体" w:hAnsi="宋体" w:eastAsia="宋体" w:cs="宋体"/>
          <w:sz w:val="28"/>
          <w:szCs w:val="28"/>
          <w:highlight w:val="none"/>
          <w:lang w:val="zh-CN"/>
        </w:rPr>
      </w:pPr>
      <w:bookmarkStart w:id="22" w:name="_Toc25481"/>
      <w:r>
        <w:rPr>
          <w:rFonts w:hint="eastAsia" w:ascii="宋体" w:hAnsi="宋体" w:eastAsia="宋体" w:cs="宋体"/>
          <w:sz w:val="28"/>
          <w:szCs w:val="28"/>
          <w:highlight w:val="none"/>
          <w:lang w:val="zh-CN"/>
        </w:rPr>
        <w:t>（</w:t>
      </w:r>
      <w:r>
        <w:rPr>
          <w:rFonts w:hint="eastAsia" w:ascii="宋体" w:hAnsi="宋体" w:eastAsia="宋体" w:cs="宋体"/>
          <w:sz w:val="28"/>
          <w:szCs w:val="28"/>
          <w:highlight w:val="none"/>
        </w:rPr>
        <w:t>一）</w:t>
      </w:r>
      <w:r>
        <w:rPr>
          <w:rFonts w:hint="eastAsia" w:ascii="宋体" w:hAnsi="宋体" w:eastAsia="宋体" w:cs="宋体"/>
          <w:sz w:val="28"/>
          <w:szCs w:val="28"/>
          <w:highlight w:val="none"/>
          <w:lang w:val="zh-CN"/>
        </w:rPr>
        <w:t>加强政策引导</w:t>
      </w:r>
      <w:bookmarkEnd w:id="21"/>
      <w:bookmarkEnd w:id="22"/>
    </w:p>
    <w:p w14:paraId="15D8B7F5">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sz w:val="28"/>
          <w:szCs w:val="28"/>
          <w:highlight w:val="none"/>
        </w:rPr>
      </w:pPr>
      <w:r>
        <w:rPr>
          <w:rFonts w:hint="eastAsia" w:ascii="宋体" w:hAnsi="宋体" w:eastAsia="宋体" w:cs="宋体"/>
          <w:kern w:val="0"/>
          <w:sz w:val="28"/>
          <w:szCs w:val="28"/>
          <w:highlight w:val="none"/>
          <w:lang w:val="en-US" w:eastAsia="zh-CN" w:bidi="ar"/>
          <w14:ligatures w14:val="standardContextual"/>
        </w:rPr>
        <w:t>1.组建政策解读专班，锚定合作方向</w:t>
      </w:r>
    </w:p>
    <w:p w14:paraId="52BF8422">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kern w:val="0"/>
          <w:sz w:val="28"/>
          <w:szCs w:val="28"/>
          <w:highlight w:val="none"/>
          <w:lang w:val="en-US" w:eastAsia="zh-CN" w:bidi="ar"/>
          <w14:ligatures w14:val="standardContextual"/>
        </w:rPr>
      </w:pPr>
      <w:r>
        <w:rPr>
          <w:rFonts w:hint="eastAsia" w:ascii="宋体" w:hAnsi="宋体" w:eastAsia="宋体" w:cs="宋体"/>
          <w:kern w:val="0"/>
          <w:sz w:val="28"/>
          <w:szCs w:val="28"/>
          <w:highlight w:val="none"/>
          <w:lang w:val="en-US" w:eastAsia="zh-CN" w:bidi="ar"/>
          <w14:ligatures w14:val="standardContextual"/>
        </w:rPr>
        <w:t>双方联合成立由企业战略发展部、学校科研合作处及相关专业骨干教师组成的“政策研究与对接专班”，建立常态化政策追踪机制。重点聚焦国家及江苏省关于新能源汽车产业发展、职业教育改革、产教融合示范基地建设的最新政策，定期开展政策解读会、专题研讨会。通过精准拆解政策中的资金支持、税收减免、资质认定等利好条款，结合常州比亚迪在动力电池、智能驾驶等领域的技术需求，以及无锡交通分院在汽车检测与维修、新能源汽车技术等专业的教学优势，明确合作的重点领域与优先方向，确保校企合作与国家战略、产业导向同频共振。</w:t>
      </w:r>
    </w:p>
    <w:p w14:paraId="49A35520">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sz w:val="28"/>
          <w:szCs w:val="28"/>
          <w:highlight w:val="none"/>
        </w:rPr>
      </w:pPr>
      <w:r>
        <w:rPr>
          <w:rFonts w:hint="eastAsia" w:ascii="宋体" w:hAnsi="宋体" w:eastAsia="宋体" w:cs="宋体"/>
          <w:kern w:val="0"/>
          <w:sz w:val="28"/>
          <w:szCs w:val="28"/>
          <w:highlight w:val="none"/>
          <w:lang w:val="en-US" w:eastAsia="zh-CN" w:bidi="ar"/>
          <w14:ligatures w14:val="standardContextual"/>
        </w:rPr>
        <w:t>2.共建政策落地载体，强化合作支撑</w:t>
      </w:r>
    </w:p>
    <w:p w14:paraId="50309BE8">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sz w:val="28"/>
          <w:szCs w:val="28"/>
          <w:highlight w:val="none"/>
        </w:rPr>
      </w:pPr>
      <w:r>
        <w:rPr>
          <w:rFonts w:hint="eastAsia" w:ascii="宋体" w:hAnsi="宋体" w:eastAsia="宋体" w:cs="宋体"/>
          <w:kern w:val="0"/>
          <w:sz w:val="28"/>
          <w:szCs w:val="28"/>
          <w:highlight w:val="none"/>
          <w:lang w:val="en-US" w:eastAsia="zh-CN" w:bidi="ar"/>
          <w14:ligatures w14:val="standardContextual"/>
        </w:rPr>
        <w:t>依托政策支持，联合申报“新能源汽车产教融合示范基地”“技能大师工作室”等平台载体，争取政府在场地、资金、设备等方面的专项扶持。同时，利用国家对企业参与职业教育的税收优惠政策，常州比亚迪可通过捐赠设备、提供实习岗位等方式，享受相应的税收减免，降低合作成本。通过政策载体的落地，为深层次合作提供坚实的硬件支撑与资金保障，实现政策红利向合作实效的转化。</w:t>
      </w:r>
    </w:p>
    <w:p w14:paraId="183CF3AE">
      <w:pPr>
        <w:pStyle w:val="44"/>
        <w:ind w:firstLine="562" w:firstLineChars="200"/>
        <w:rPr>
          <w:rFonts w:hint="eastAsia" w:ascii="宋体" w:hAnsi="宋体" w:eastAsia="宋体" w:cs="宋体"/>
          <w:sz w:val="28"/>
          <w:szCs w:val="28"/>
          <w:highlight w:val="none"/>
        </w:rPr>
      </w:pPr>
      <w:bookmarkStart w:id="23" w:name="_Toc5999"/>
      <w:bookmarkStart w:id="24" w:name="_Toc14942"/>
      <w:r>
        <w:rPr>
          <w:rFonts w:hint="eastAsia" w:ascii="宋体" w:hAnsi="宋体" w:eastAsia="宋体" w:cs="宋体"/>
          <w:sz w:val="28"/>
          <w:szCs w:val="28"/>
          <w:highlight w:val="none"/>
        </w:rPr>
        <w:t>（二）设立专项经费，加强资金管理</w:t>
      </w:r>
      <w:bookmarkEnd w:id="23"/>
      <w:bookmarkEnd w:id="24"/>
    </w:p>
    <w:p w14:paraId="755D2031">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1.拓宽经费来源渠道</w:t>
      </w:r>
    </w:p>
    <w:p w14:paraId="3B3F6721">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接收常州比亚迪汽车有限公司专项捐赠、实训基地共建资金等，将这些经费纳入学院年校企合作人才培养预算，设立专项经费，并根据合作项目推进及地方产业需求动态调整。积极申报职业教育校企合作专项补贴、新能源汽车产业人才培养扶持资金、实训基地建设专项拨款等。</w:t>
      </w:r>
    </w:p>
    <w:p w14:paraId="0A6441FF">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2.动态聚焦需求分配</w:t>
      </w:r>
    </w:p>
    <w:p w14:paraId="4344816B">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优先保障实训教学、学生实践、师资培养等核心环节，对订单培养、实训基地共建、核心课程开发等关键项目给予重点资金支持。结合项目人才培养成效、地方产业贡献度分配资金，优先支持投入产出比高、能快速提升学生岗位适配能力的项目。与常州比亚迪共同协商经费分配方案，充分听取企业对岗位需求、技能培养的意见，确保资金使用贴合企业实际用人需求。</w:t>
      </w:r>
    </w:p>
    <w:p w14:paraId="3625BF09">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3.建立健全管理措施</w:t>
      </w:r>
    </w:p>
    <w:p w14:paraId="50035854">
      <w:pPr>
        <w:pStyle w:val="46"/>
        <w:ind w:firstLine="480"/>
        <w:rPr>
          <w:rFonts w:hint="eastAsia" w:ascii="宋体" w:hAnsi="宋体" w:eastAsia="宋体" w:cs="宋体"/>
          <w:sz w:val="28"/>
          <w:szCs w:val="28"/>
          <w:highlight w:val="none"/>
        </w:rPr>
      </w:pPr>
      <w:r>
        <w:rPr>
          <w:rFonts w:hint="eastAsia" w:ascii="宋体" w:hAnsi="宋体" w:eastAsia="宋体" w:cs="宋体"/>
          <w:sz w:val="28"/>
          <w:szCs w:val="28"/>
          <w:highlight w:val="none"/>
        </w:rPr>
        <w:t>由学校分管校长牵头，联合汽车工程学院及常州比亚迪汽车有限公司人力资源部、技术部负责人共同组成经费管理小组，负责经费统筹规划、预算审批、使用监督及成效评估。在汽车工程学院配备专职经费管理员，负责经费预算申报、支出统计、票据整理等日常工作，确保资金管理规范有序。学校财务账户下设立校企合作专项经费专户，实行单独核算、专款专用，严禁挪用、挤占，确保资金流向清晰可追溯。邀请常州比亚迪相关负责人参与经费使用监督，对涉及企业投入的资金项目，共同开展中期检查与末期评估，确保资金使用符合合作约定。</w:t>
      </w:r>
    </w:p>
    <w:p w14:paraId="2B607A0A">
      <w:pPr>
        <w:pStyle w:val="44"/>
        <w:ind w:firstLine="562" w:firstLineChars="200"/>
        <w:rPr>
          <w:rFonts w:hint="eastAsia" w:ascii="宋体" w:hAnsi="宋体" w:eastAsia="宋体" w:cs="宋体"/>
          <w:sz w:val="28"/>
          <w:szCs w:val="28"/>
          <w:highlight w:val="none"/>
        </w:rPr>
      </w:pPr>
      <w:bookmarkStart w:id="25" w:name="_Toc13730"/>
      <w:bookmarkStart w:id="26" w:name="_Toc2902"/>
      <w:r>
        <w:rPr>
          <w:rFonts w:hint="eastAsia" w:ascii="宋体" w:hAnsi="宋体" w:eastAsia="宋体" w:cs="宋体"/>
          <w:sz w:val="28"/>
          <w:szCs w:val="28"/>
          <w:highlight w:val="none"/>
        </w:rPr>
        <w:t>（三）完善自身体制建设</w:t>
      </w:r>
      <w:bookmarkEnd w:id="25"/>
      <w:bookmarkEnd w:id="26"/>
    </w:p>
    <w:p w14:paraId="0415E7EF">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sz w:val="28"/>
          <w:szCs w:val="28"/>
          <w:highlight w:val="none"/>
        </w:rPr>
      </w:pPr>
      <w:r>
        <w:rPr>
          <w:rFonts w:hint="eastAsia" w:ascii="宋体" w:hAnsi="宋体" w:eastAsia="宋体" w:cs="宋体"/>
          <w:kern w:val="0"/>
          <w:sz w:val="28"/>
          <w:szCs w:val="28"/>
          <w:highlight w:val="none"/>
          <w:lang w:val="en-US" w:eastAsia="zh-CN" w:bidi="ar"/>
          <w14:ligatures w14:val="standardContextual"/>
        </w:rPr>
        <w:t>政策载体的高效运转离不开健全的内部体制，双方需从组织架构、运行机制、制度保障三方面发力，构建权责清晰、协同高效的合作管理体系。在组织架构上，成立由双方高层领导牵头的“校企合作领导小组”，作为合作决策核心，负责审定合作战略规划、重大项目方案及年度预算；下设技术合作部、人才培养部、综合管理部三个专项工作组，分别由企业技术总监与学校院部主任共同担任组长，具体负责对应领域的项目推进、沟通协调及日常管理，形成“高层决策—中层执行—基层落实”的三级组织架构，确保合作指令高效传递。</w:t>
      </w:r>
    </w:p>
    <w:p w14:paraId="6BED3CB0">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sz w:val="28"/>
          <w:szCs w:val="28"/>
          <w:highlight w:val="none"/>
        </w:rPr>
      </w:pPr>
      <w:r>
        <w:rPr>
          <w:rFonts w:hint="eastAsia" w:ascii="宋体" w:hAnsi="宋体" w:eastAsia="宋体" w:cs="宋体"/>
          <w:kern w:val="0"/>
          <w:sz w:val="28"/>
          <w:szCs w:val="28"/>
          <w:highlight w:val="none"/>
          <w:lang w:val="en-US" w:eastAsia="zh-CN" w:bidi="ar"/>
          <w14:ligatures w14:val="standardContextual"/>
        </w:rPr>
        <w:t>在运行机制上，建立“双主任制”管理模式，新能源汽车产教融合示范基地、技能大师工作室等平台均由企业高管与学校领导共同担任主任，实现校企双方对平台资源的共同管控与高效调配。推行“定期会商+项目例会”制度，领导小组每半年召开一次战略研讨会，复盘合作成效并规划下一阶段重点任务；各专项工作组每月召开项目例会，同步工作进展、解决合作难题。同时，搭建数字化沟通平台，整合项目进度、资金使用、人员调配等信息，实现合作数据实时共享，提升沟通效率与决策科学性。</w:t>
      </w:r>
    </w:p>
    <w:p w14:paraId="352F8CEC">
      <w:pPr>
        <w:keepNext w:val="0"/>
        <w:keepLines w:val="0"/>
        <w:pageBreakBefore w:val="0"/>
        <w:widowControl/>
        <w:suppressLineNumbers w:val="0"/>
        <w:kinsoku/>
        <w:wordWrap/>
        <w:overflowPunct/>
        <w:topLinePunct w:val="0"/>
        <w:autoSpaceDE/>
        <w:autoSpaceDN/>
        <w:bidi w:val="0"/>
        <w:adjustRightInd/>
        <w:snapToGrid/>
        <w:spacing w:after="0" w:line="360" w:lineRule="auto"/>
        <w:ind w:firstLine="560" w:firstLineChars="200"/>
        <w:jc w:val="left"/>
        <w:textAlignment w:val="auto"/>
        <w:rPr>
          <w:rFonts w:hint="eastAsia" w:ascii="宋体" w:hAnsi="宋体" w:eastAsia="宋体" w:cs="宋体"/>
          <w:sz w:val="28"/>
          <w:szCs w:val="28"/>
          <w:highlight w:val="none"/>
        </w:rPr>
      </w:pPr>
      <w:r>
        <w:rPr>
          <w:rFonts w:hint="eastAsia" w:ascii="宋体" w:hAnsi="宋体" w:eastAsia="宋体" w:cs="宋体"/>
          <w:kern w:val="0"/>
          <w:sz w:val="28"/>
          <w:szCs w:val="28"/>
          <w:highlight w:val="none"/>
          <w:lang w:val="en-US" w:eastAsia="zh-CN" w:bidi="ar"/>
          <w14:ligatures w14:val="standardContextual"/>
        </w:rPr>
        <w:t>在制度保障上，围绕合作全流程制定《校企合作项目管理办法》《平台资源共享管理规定》等一系列制度文件。明确双方在项目申报、资源投入、成果分配等方面的权利与义务。通过完善的制度体系，化解合作中的潜在矛盾，保障合作稳步推进。</w:t>
      </w:r>
    </w:p>
    <w:p w14:paraId="0D5C104D">
      <w:pPr>
        <w:pStyle w:val="46"/>
        <w:keepNext w:val="0"/>
        <w:keepLines w:val="0"/>
        <w:pageBreakBefore w:val="0"/>
        <w:kinsoku/>
        <w:wordWrap/>
        <w:overflowPunct/>
        <w:topLinePunct w:val="0"/>
        <w:autoSpaceDE/>
        <w:autoSpaceDN/>
        <w:bidi w:val="0"/>
        <w:adjustRightInd/>
        <w:snapToGrid/>
        <w:spacing w:after="0" w:line="360" w:lineRule="auto"/>
        <w:ind w:firstLine="560" w:firstLineChars="200"/>
        <w:textAlignment w:val="auto"/>
        <w:rPr>
          <w:rFonts w:hint="eastAsia" w:ascii="宋体" w:hAnsi="宋体" w:eastAsia="宋体" w:cs="宋体"/>
          <w:sz w:val="28"/>
          <w:szCs w:val="28"/>
          <w:highlight w:val="none"/>
        </w:rPr>
      </w:pPr>
    </w:p>
    <w:sectPr>
      <w:footerReference r:id="rId6"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00"/>
    <w:family w:val="roman"/>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TT4AC8C67DtCID-WinCharSetFFFF-H">
    <w:altName w:val="宋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897B3">
    <w:pPr>
      <w:pStyle w:val="12"/>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36044170"/>
      <w:docPartObj>
        <w:docPartGallery w:val="autotext"/>
      </w:docPartObj>
    </w:sdtPr>
    <w:sdtContent>
      <w:p w14:paraId="5BF3D23A">
        <w:pPr>
          <w:pStyle w:val="12"/>
          <w:jc w:val="center"/>
          <w:rPr>
            <w:rFonts w:hint="eastAsia"/>
          </w:rPr>
        </w:pPr>
        <w:r>
          <w:fldChar w:fldCharType="begin"/>
        </w:r>
        <w:r>
          <w:instrText xml:space="preserve">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0769"/>
    <w:rsid w:val="000349D5"/>
    <w:rsid w:val="00050769"/>
    <w:rsid w:val="00077776"/>
    <w:rsid w:val="000A3551"/>
    <w:rsid w:val="001F0754"/>
    <w:rsid w:val="0022409B"/>
    <w:rsid w:val="00240988"/>
    <w:rsid w:val="00246A53"/>
    <w:rsid w:val="003A5E2E"/>
    <w:rsid w:val="00400EE8"/>
    <w:rsid w:val="004348EA"/>
    <w:rsid w:val="00447C2A"/>
    <w:rsid w:val="004556FA"/>
    <w:rsid w:val="00463B94"/>
    <w:rsid w:val="00495045"/>
    <w:rsid w:val="0050736B"/>
    <w:rsid w:val="00527A4C"/>
    <w:rsid w:val="00545B44"/>
    <w:rsid w:val="00597862"/>
    <w:rsid w:val="005A4108"/>
    <w:rsid w:val="005C0814"/>
    <w:rsid w:val="00626F7D"/>
    <w:rsid w:val="0066488B"/>
    <w:rsid w:val="00756A70"/>
    <w:rsid w:val="007C4429"/>
    <w:rsid w:val="007F74D4"/>
    <w:rsid w:val="00822189"/>
    <w:rsid w:val="00833E5B"/>
    <w:rsid w:val="00844840"/>
    <w:rsid w:val="008827F4"/>
    <w:rsid w:val="008E5464"/>
    <w:rsid w:val="00910775"/>
    <w:rsid w:val="0097174C"/>
    <w:rsid w:val="00985C3F"/>
    <w:rsid w:val="009B29EC"/>
    <w:rsid w:val="009C2BC0"/>
    <w:rsid w:val="009E6040"/>
    <w:rsid w:val="00A03B50"/>
    <w:rsid w:val="00A13D93"/>
    <w:rsid w:val="00A3067A"/>
    <w:rsid w:val="00AB55D0"/>
    <w:rsid w:val="00BA307A"/>
    <w:rsid w:val="00C7300C"/>
    <w:rsid w:val="00C859F8"/>
    <w:rsid w:val="00CA1FC8"/>
    <w:rsid w:val="00CE1590"/>
    <w:rsid w:val="00D45B86"/>
    <w:rsid w:val="00EF66F2"/>
    <w:rsid w:val="0A4021B8"/>
    <w:rsid w:val="0E3D4B30"/>
    <w:rsid w:val="1DD4744B"/>
    <w:rsid w:val="251376FF"/>
    <w:rsid w:val="40244B67"/>
    <w:rsid w:val="4ACF2118"/>
    <w:rsid w:val="4DBA353E"/>
    <w:rsid w:val="6DE075F2"/>
    <w:rsid w:val="7F5910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23"/>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24"/>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5"/>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26"/>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7"/>
    <w:semiHidden/>
    <w:unhideWhenUsed/>
    <w:qFormat/>
    <w:uiPriority w:val="9"/>
    <w:pPr>
      <w:keepNext/>
      <w:keepLines/>
      <w:spacing w:before="80" w:after="40"/>
      <w:outlineLvl w:val="4"/>
    </w:pPr>
    <w:rPr>
      <w:rFonts w:cstheme="majorBidi"/>
      <w:color w:val="104862" w:themeColor="accent1" w:themeShade="BF"/>
      <w:sz w:val="24"/>
    </w:rPr>
  </w:style>
  <w:style w:type="paragraph" w:styleId="7">
    <w:name w:val="heading 6"/>
    <w:basedOn w:val="1"/>
    <w:next w:val="1"/>
    <w:link w:val="28"/>
    <w:semiHidden/>
    <w:unhideWhenUsed/>
    <w:qFormat/>
    <w:uiPriority w:val="9"/>
    <w:pPr>
      <w:keepNext/>
      <w:keepLines/>
      <w:spacing w:before="40" w:after="0"/>
      <w:outlineLvl w:val="5"/>
    </w:pPr>
    <w:rPr>
      <w:rFonts w:cstheme="majorBidi"/>
      <w:b/>
      <w:bCs/>
      <w:color w:val="104862" w:themeColor="accent1" w:themeShade="BF"/>
    </w:rPr>
  </w:style>
  <w:style w:type="paragraph" w:styleId="8">
    <w:name w:val="heading 7"/>
    <w:basedOn w:val="1"/>
    <w:next w:val="1"/>
    <w:link w:val="29"/>
    <w:semiHidden/>
    <w:unhideWhenUsed/>
    <w:qFormat/>
    <w:uiPriority w:val="9"/>
    <w:pPr>
      <w:keepNext/>
      <w:keepLines/>
      <w:spacing w:before="40" w:after="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0"/>
    <w:semiHidden/>
    <w:unhideWhenUsed/>
    <w:qFormat/>
    <w:uiPriority w:val="9"/>
    <w:pPr>
      <w:keepNext/>
      <w:keepLines/>
      <w:spacing w:after="0"/>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1"/>
    <w:semiHidden/>
    <w:unhideWhenUsed/>
    <w:qFormat/>
    <w:uiPriority w:val="9"/>
    <w:pPr>
      <w:keepNext/>
      <w:keepLines/>
      <w:spacing w:after="0"/>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49"/>
    <w:unhideWhenUsed/>
    <w:qFormat/>
    <w:uiPriority w:val="99"/>
  </w:style>
  <w:style w:type="paragraph" w:styleId="12">
    <w:name w:val="footer"/>
    <w:basedOn w:val="1"/>
    <w:link w:val="42"/>
    <w:unhideWhenUsed/>
    <w:qFormat/>
    <w:uiPriority w:val="99"/>
    <w:pPr>
      <w:tabs>
        <w:tab w:val="center" w:pos="4153"/>
        <w:tab w:val="right" w:pos="8306"/>
      </w:tabs>
      <w:snapToGrid w:val="0"/>
      <w:spacing w:line="240" w:lineRule="auto"/>
    </w:pPr>
    <w:rPr>
      <w:sz w:val="18"/>
      <w:szCs w:val="18"/>
    </w:rPr>
  </w:style>
  <w:style w:type="paragraph" w:styleId="13">
    <w:name w:val="header"/>
    <w:basedOn w:val="1"/>
    <w:link w:val="41"/>
    <w:unhideWhenUsed/>
    <w:qFormat/>
    <w:uiPriority w:val="99"/>
    <w:pPr>
      <w:tabs>
        <w:tab w:val="center" w:pos="4153"/>
        <w:tab w:val="right" w:pos="8306"/>
      </w:tabs>
      <w:snapToGrid w:val="0"/>
      <w:spacing w:line="240" w:lineRule="auto"/>
      <w:jc w:val="center"/>
    </w:pPr>
    <w:rPr>
      <w:sz w:val="18"/>
      <w:szCs w:val="18"/>
    </w:rPr>
  </w:style>
  <w:style w:type="paragraph" w:styleId="14">
    <w:name w:val="toc 1"/>
    <w:basedOn w:val="1"/>
    <w:next w:val="1"/>
    <w:autoRedefine/>
    <w:unhideWhenUsed/>
    <w:qFormat/>
    <w:uiPriority w:val="39"/>
  </w:style>
  <w:style w:type="paragraph" w:styleId="15">
    <w:name w:val="Subtitle"/>
    <w:basedOn w:val="1"/>
    <w:next w:val="1"/>
    <w:link w:val="33"/>
    <w:qFormat/>
    <w:uiPriority w:val="11"/>
    <w:pPr>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6">
    <w:name w:val="toc 2"/>
    <w:basedOn w:val="1"/>
    <w:next w:val="1"/>
    <w:autoRedefine/>
    <w:unhideWhenUsed/>
    <w:qFormat/>
    <w:uiPriority w:val="39"/>
    <w:pPr>
      <w:ind w:left="420" w:leftChars="200"/>
    </w:pPr>
  </w:style>
  <w:style w:type="paragraph" w:styleId="17">
    <w:name w:val="Title"/>
    <w:basedOn w:val="1"/>
    <w:next w:val="1"/>
    <w:link w:val="32"/>
    <w:qFormat/>
    <w:uiPriority w:val="10"/>
    <w:pPr>
      <w:spacing w:after="80" w:line="240" w:lineRule="auto"/>
      <w:contextualSpacing/>
      <w:jc w:val="center"/>
    </w:pPr>
    <w:rPr>
      <w:rFonts w:asciiTheme="majorHAnsi" w:hAnsiTheme="majorHAnsi" w:eastAsiaTheme="majorEastAsia" w:cstheme="majorBidi"/>
      <w:spacing w:val="-10"/>
      <w:kern w:val="28"/>
      <w:sz w:val="56"/>
      <w:szCs w:val="56"/>
    </w:rPr>
  </w:style>
  <w:style w:type="paragraph" w:styleId="18">
    <w:name w:val="annotation subject"/>
    <w:basedOn w:val="11"/>
    <w:next w:val="11"/>
    <w:link w:val="50"/>
    <w:semiHidden/>
    <w:unhideWhenUsed/>
    <w:qFormat/>
    <w:uiPriority w:val="99"/>
    <w:rPr>
      <w:b/>
      <w:bCs/>
    </w:rPr>
  </w:style>
  <w:style w:type="character" w:styleId="21">
    <w:name w:val="Hyperlink"/>
    <w:basedOn w:val="20"/>
    <w:unhideWhenUsed/>
    <w:qFormat/>
    <w:uiPriority w:val="99"/>
    <w:rPr>
      <w:color w:val="467886" w:themeColor="hyperlink"/>
      <w:u w:val="single"/>
      <w14:textFill>
        <w14:solidFill>
          <w14:schemeClr w14:val="hlink"/>
        </w14:solidFill>
      </w14:textFill>
    </w:rPr>
  </w:style>
  <w:style w:type="character" w:styleId="22">
    <w:name w:val="annotation reference"/>
    <w:basedOn w:val="20"/>
    <w:semiHidden/>
    <w:unhideWhenUsed/>
    <w:qFormat/>
    <w:uiPriority w:val="99"/>
    <w:rPr>
      <w:sz w:val="21"/>
      <w:szCs w:val="21"/>
    </w:rPr>
  </w:style>
  <w:style w:type="character" w:customStyle="1" w:styleId="23">
    <w:name w:val="标题 1 字符"/>
    <w:basedOn w:val="20"/>
    <w:link w:val="2"/>
    <w:qFormat/>
    <w:uiPriority w:val="9"/>
    <w:rPr>
      <w:rFonts w:asciiTheme="majorHAnsi" w:hAnsiTheme="majorHAnsi" w:eastAsiaTheme="majorEastAsia" w:cstheme="majorBidi"/>
      <w:color w:val="104862" w:themeColor="accent1" w:themeShade="BF"/>
      <w:sz w:val="48"/>
      <w:szCs w:val="48"/>
    </w:rPr>
  </w:style>
  <w:style w:type="character" w:customStyle="1" w:styleId="24">
    <w:name w:val="标题 2 字符"/>
    <w:basedOn w:val="20"/>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5">
    <w:name w:val="标题 3 字符"/>
    <w:basedOn w:val="20"/>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6">
    <w:name w:val="标题 4 字符"/>
    <w:basedOn w:val="20"/>
    <w:link w:val="5"/>
    <w:semiHidden/>
    <w:qFormat/>
    <w:uiPriority w:val="9"/>
    <w:rPr>
      <w:rFonts w:cstheme="majorBidi"/>
      <w:color w:val="104862" w:themeColor="accent1" w:themeShade="BF"/>
      <w:sz w:val="28"/>
      <w:szCs w:val="28"/>
    </w:rPr>
  </w:style>
  <w:style w:type="character" w:customStyle="1" w:styleId="27">
    <w:name w:val="标题 5 字符"/>
    <w:basedOn w:val="20"/>
    <w:link w:val="6"/>
    <w:semiHidden/>
    <w:qFormat/>
    <w:uiPriority w:val="9"/>
    <w:rPr>
      <w:rFonts w:cstheme="majorBidi"/>
      <w:color w:val="104862" w:themeColor="accent1" w:themeShade="BF"/>
      <w:sz w:val="24"/>
    </w:rPr>
  </w:style>
  <w:style w:type="character" w:customStyle="1" w:styleId="28">
    <w:name w:val="标题 6 字符"/>
    <w:basedOn w:val="20"/>
    <w:link w:val="7"/>
    <w:semiHidden/>
    <w:qFormat/>
    <w:uiPriority w:val="9"/>
    <w:rPr>
      <w:rFonts w:cstheme="majorBidi"/>
      <w:b/>
      <w:bCs/>
      <w:color w:val="104862" w:themeColor="accent1" w:themeShade="BF"/>
    </w:rPr>
  </w:style>
  <w:style w:type="character" w:customStyle="1" w:styleId="29">
    <w:name w:val="标题 7 字符"/>
    <w:basedOn w:val="20"/>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0">
    <w:name w:val="标题 8 字符"/>
    <w:basedOn w:val="20"/>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1">
    <w:name w:val="标题 9 字符"/>
    <w:basedOn w:val="20"/>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2">
    <w:name w:val="标题 字符"/>
    <w:basedOn w:val="20"/>
    <w:link w:val="17"/>
    <w:qFormat/>
    <w:uiPriority w:val="10"/>
    <w:rPr>
      <w:rFonts w:asciiTheme="majorHAnsi" w:hAnsiTheme="majorHAnsi" w:eastAsiaTheme="majorEastAsia" w:cstheme="majorBidi"/>
      <w:spacing w:val="-10"/>
      <w:kern w:val="28"/>
      <w:sz w:val="56"/>
      <w:szCs w:val="56"/>
    </w:rPr>
  </w:style>
  <w:style w:type="character" w:customStyle="1" w:styleId="33">
    <w:name w:val="副标题 字符"/>
    <w:basedOn w:val="20"/>
    <w:link w:val="15"/>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4">
    <w:name w:val="Quote"/>
    <w:basedOn w:val="1"/>
    <w:next w:val="1"/>
    <w:link w:val="35"/>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35">
    <w:name w:val="引用 字符"/>
    <w:basedOn w:val="20"/>
    <w:link w:val="34"/>
    <w:qFormat/>
    <w:uiPriority w:val="29"/>
    <w:rPr>
      <w:i/>
      <w:iCs/>
      <w:color w:val="404040" w:themeColor="text1" w:themeTint="BF"/>
      <w14:textFill>
        <w14:solidFill>
          <w14:schemeClr w14:val="tx1">
            <w14:lumMod w14:val="75000"/>
            <w14:lumOff w14:val="25000"/>
          </w14:schemeClr>
        </w14:solidFill>
      </w14:textFill>
    </w:rPr>
  </w:style>
  <w:style w:type="paragraph" w:styleId="36">
    <w:name w:val="List Paragraph"/>
    <w:basedOn w:val="1"/>
    <w:qFormat/>
    <w:uiPriority w:val="34"/>
    <w:pPr>
      <w:ind w:left="720"/>
      <w:contextualSpacing/>
    </w:pPr>
  </w:style>
  <w:style w:type="character" w:customStyle="1" w:styleId="37">
    <w:name w:val="Intense Emphasis"/>
    <w:basedOn w:val="20"/>
    <w:qFormat/>
    <w:uiPriority w:val="21"/>
    <w:rPr>
      <w:i/>
      <w:iCs/>
      <w:color w:val="104862" w:themeColor="accent1" w:themeShade="BF"/>
    </w:rPr>
  </w:style>
  <w:style w:type="paragraph" w:styleId="38">
    <w:name w:val="Intense Quote"/>
    <w:basedOn w:val="1"/>
    <w:next w:val="1"/>
    <w:link w:val="39"/>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39">
    <w:name w:val="明显引用 字符"/>
    <w:basedOn w:val="20"/>
    <w:link w:val="38"/>
    <w:qFormat/>
    <w:uiPriority w:val="30"/>
    <w:rPr>
      <w:i/>
      <w:iCs/>
      <w:color w:val="104862" w:themeColor="accent1" w:themeShade="BF"/>
    </w:rPr>
  </w:style>
  <w:style w:type="character" w:customStyle="1" w:styleId="40">
    <w:name w:val="Intense Reference"/>
    <w:basedOn w:val="20"/>
    <w:qFormat/>
    <w:uiPriority w:val="32"/>
    <w:rPr>
      <w:b/>
      <w:bCs/>
      <w:smallCaps/>
      <w:color w:val="104862" w:themeColor="accent1" w:themeShade="BF"/>
      <w:spacing w:val="5"/>
    </w:rPr>
  </w:style>
  <w:style w:type="character" w:customStyle="1" w:styleId="41">
    <w:name w:val="页眉 字符"/>
    <w:basedOn w:val="20"/>
    <w:link w:val="13"/>
    <w:qFormat/>
    <w:uiPriority w:val="99"/>
    <w:rPr>
      <w:sz w:val="18"/>
      <w:szCs w:val="18"/>
    </w:rPr>
  </w:style>
  <w:style w:type="character" w:customStyle="1" w:styleId="42">
    <w:name w:val="页脚 字符"/>
    <w:basedOn w:val="20"/>
    <w:link w:val="12"/>
    <w:qFormat/>
    <w:uiPriority w:val="99"/>
    <w:rPr>
      <w:sz w:val="18"/>
      <w:szCs w:val="18"/>
    </w:rPr>
  </w:style>
  <w:style w:type="paragraph" w:customStyle="1" w:styleId="43">
    <w:name w:val="标题1汽车"/>
    <w:basedOn w:val="2"/>
    <w:qFormat/>
    <w:uiPriority w:val="0"/>
    <w:pPr>
      <w:spacing w:before="0" w:after="0" w:line="360" w:lineRule="auto"/>
    </w:pPr>
    <w:rPr>
      <w:rFonts w:ascii="Times New Roman" w:hAnsi="Times New Roman" w:eastAsia="宋体"/>
      <w:b/>
      <w:color w:val="000000" w:themeColor="text1"/>
      <w:sz w:val="28"/>
      <w14:textFill>
        <w14:solidFill>
          <w14:schemeClr w14:val="tx1"/>
        </w14:solidFill>
      </w14:textFill>
    </w:rPr>
  </w:style>
  <w:style w:type="paragraph" w:customStyle="1" w:styleId="44">
    <w:name w:val="标题2汽车"/>
    <w:basedOn w:val="43"/>
    <w:qFormat/>
    <w:uiPriority w:val="0"/>
    <w:pPr>
      <w:outlineLvl w:val="1"/>
    </w:pPr>
    <w:rPr>
      <w:sz w:val="24"/>
    </w:rPr>
  </w:style>
  <w:style w:type="paragraph" w:customStyle="1" w:styleId="45">
    <w:name w:val="标题3汽车"/>
    <w:basedOn w:val="44"/>
    <w:qFormat/>
    <w:uiPriority w:val="0"/>
    <w:pPr>
      <w:ind w:firstLine="200" w:firstLineChars="200"/>
      <w:outlineLvl w:val="2"/>
    </w:pPr>
  </w:style>
  <w:style w:type="paragraph" w:customStyle="1" w:styleId="46">
    <w:name w:val="正文汽车"/>
    <w:basedOn w:val="45"/>
    <w:qFormat/>
    <w:uiPriority w:val="0"/>
    <w:pPr>
      <w:keepNext w:val="0"/>
      <w:keepLines w:val="0"/>
      <w:jc w:val="both"/>
      <w:outlineLvl w:val="9"/>
    </w:pPr>
    <w:rPr>
      <w:b w:val="0"/>
    </w:rPr>
  </w:style>
  <w:style w:type="character" w:customStyle="1" w:styleId="47">
    <w:name w:val="标题 1 Char"/>
    <w:qFormat/>
    <w:uiPriority w:val="9"/>
    <w:rPr>
      <w:b/>
      <w:bCs/>
      <w:kern w:val="44"/>
      <w:sz w:val="28"/>
      <w:szCs w:val="44"/>
    </w:rPr>
  </w:style>
  <w:style w:type="paragraph" w:customStyle="1" w:styleId="48">
    <w:name w:val="TOC Heading"/>
    <w:basedOn w:val="2"/>
    <w:next w:val="1"/>
    <w:unhideWhenUsed/>
    <w:qFormat/>
    <w:uiPriority w:val="39"/>
    <w:pPr>
      <w:widowControl/>
      <w:spacing w:before="240" w:after="0" w:line="259" w:lineRule="auto"/>
      <w:outlineLvl w:val="9"/>
    </w:pPr>
    <w:rPr>
      <w:kern w:val="0"/>
      <w:sz w:val="32"/>
      <w:szCs w:val="32"/>
      <w14:ligatures w14:val="none"/>
    </w:rPr>
  </w:style>
  <w:style w:type="character" w:customStyle="1" w:styleId="49">
    <w:name w:val="批注文字 字符"/>
    <w:basedOn w:val="20"/>
    <w:link w:val="11"/>
    <w:qFormat/>
    <w:uiPriority w:val="99"/>
  </w:style>
  <w:style w:type="character" w:customStyle="1" w:styleId="50">
    <w:name w:val="批注主题 字符"/>
    <w:basedOn w:val="49"/>
    <w:link w:val="18"/>
    <w:semiHidden/>
    <w:qFormat/>
    <w:uiPriority w:val="99"/>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Pages>18</Pages>
  <Words>5754</Words>
  <Characters>5826</Characters>
  <Lines>52</Lines>
  <Paragraphs>135</Paragraphs>
  <TotalTime>0</TotalTime>
  <ScaleCrop>false</ScaleCrop>
  <LinksUpToDate>false</LinksUpToDate>
  <CharactersWithSpaces>5901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2025-12-08T06:06:00Z</dcterms:created>
  <dc:creator>xuejian zhang</dc:creator>
  <cp:lastModifiedBy>WPS_415904261</cp:lastModifiedBy>
  <dcterms:modified xsi:type="dcterms:W3CDTF">2025-12-23T03:37:36Z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eyJoZGlkIjoiOGQwNzI5OWQyOWQ2M2FjNDAzY2ZlZmM4ODQzYWE0MmUiLCJ1c2VySWQiOiI0MTU5MDQyNjEifQ==</vt:lpwstr>
  </property>
  <property fmtid="{D5CDD505-2E9C-101B-9397-08002B2CF9AE}" pid="3" name="KSOProductBuildVer">
    <vt:lpwstr>2052-12.1.0.23542</vt:lpwstr>
  </property>
  <property fmtid="{D5CDD505-2E9C-101B-9397-08002B2CF9AE}" pid="4" name="ICV">
    <vt:lpwstr>5931185CB94046BBBBCFD2CDF7E9C20E_13</vt:lpwstr>
  </property>
</Properties>
</file>